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A73B6" w14:textId="504E60E8" w:rsidR="00545E89" w:rsidRPr="00592CC0" w:rsidRDefault="00545E89" w:rsidP="00592CC0">
      <w:pPr>
        <w:keepNext/>
        <w:pageBreakBefore/>
        <w:spacing w:after="120"/>
        <w:jc w:val="left"/>
        <w:rPr>
          <w:b/>
          <w:sz w:val="36"/>
        </w:rPr>
      </w:pPr>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r w:rsidR="00420611">
              <w:rPr>
                <w:rStyle w:val="EndnoteReference"/>
                <w:rFonts w:ascii="Arial" w:eastAsia="ＭＳ Ｐゴシック" w:hAnsi="Arial" w:cs="Arial"/>
                <w:color w:val="000000"/>
                <w:lang w:val="en-US" w:eastAsia="ja-JP"/>
              </w:rPr>
              <w:endnoteReference w:id="1"/>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ＭＳ Ｐゴシック" w:hAnsi="Arial" w:cs="Arial"/>
                <w:color w:val="000000"/>
                <w:lang w:val="en-US" w:eastAsia="ja-JP"/>
              </w:rPr>
            </w:pPr>
          </w:p>
        </w:tc>
      </w:tr>
      <w:tr w:rsidR="00E90038" w:rsidRPr="00CA2B67" w14:paraId="2F6582F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Use case name</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60ADD50C" w:rsidR="00541771" w:rsidRPr="00121D48" w:rsidRDefault="002906AE" w:rsidP="00B41FA6">
            <w:pPr>
              <w:tabs>
                <w:tab w:val="clear" w:pos="403"/>
              </w:tabs>
              <w:spacing w:after="0" w:line="240" w:lineRule="auto"/>
              <w:jc w:val="left"/>
              <w:rPr>
                <w:rFonts w:ascii="Arial" w:hAnsi="Arial" w:cs="Arial"/>
                <w:color w:val="000000"/>
                <w:lang w:eastAsia="ja-JP"/>
              </w:rPr>
            </w:pPr>
            <w:r w:rsidRPr="002906AE">
              <w:rPr>
                <w:rFonts w:ascii="Arial" w:hAnsi="Arial" w:cs="Arial"/>
                <w:color w:val="000000"/>
                <w:lang w:eastAsia="ja-JP"/>
              </w:rPr>
              <w:t>Deep Learning Technology Combined with Topological Data Analysis Successfully Estimates Degree of Internal Damage to Bridge Infrastructure</w:t>
            </w:r>
          </w:p>
        </w:tc>
      </w:tr>
      <w:tr w:rsidR="00E90038" w:rsidRPr="00CA2B67" w14:paraId="5AE0558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Application domain</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47C670F6" w:rsidR="00541771" w:rsidRPr="00CA2B67" w:rsidRDefault="002906AE"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Social infrastructure</w:t>
            </w:r>
          </w:p>
        </w:tc>
      </w:tr>
      <w:tr w:rsidR="00E90038" w:rsidRPr="00CA2B67" w14:paraId="62CF611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m</w:t>
            </w:r>
            <w:r w:rsidR="003D0AD7">
              <w:rPr>
                <w:rFonts w:ascii="Arial" w:eastAsia="ＭＳ Ｐゴシック" w:hAnsi="Arial" w:cs="Arial"/>
                <w:color w:val="000000"/>
                <w:lang w:val="en-US" w:eastAsia="ja-JP"/>
              </w:rPr>
              <w:t>odel</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081A2543" w:rsidR="00541771" w:rsidRPr="00CA2B67" w:rsidRDefault="002906AE"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Cloud services</w:t>
            </w:r>
          </w:p>
        </w:tc>
      </w:tr>
      <w:tr w:rsidR="00E90038" w:rsidRPr="00CA2B67" w14:paraId="1F4C343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Status</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7F23DB52" w:rsidR="00541771" w:rsidRPr="00CA2B67" w:rsidRDefault="002906AE" w:rsidP="00B00197">
            <w:pPr>
              <w:tabs>
                <w:tab w:val="clear" w:pos="403"/>
              </w:tabs>
              <w:spacing w:after="0" w:line="240" w:lineRule="auto"/>
              <w:jc w:val="left"/>
              <w:rPr>
                <w:rFonts w:ascii="Arial" w:eastAsia="ＭＳ Ｐゴシック" w:hAnsi="Arial" w:cs="Arial"/>
                <w:color w:val="000000"/>
                <w:lang w:val="en-US" w:eastAsia="ja-JP"/>
              </w:rPr>
            </w:pPr>
            <w:proofErr w:type="spellStart"/>
            <w:r>
              <w:rPr>
                <w:rFonts w:ascii="Arial" w:eastAsia="ＭＳ Ｐゴシック" w:hAnsi="Arial" w:cs="Arial"/>
                <w:color w:val="000000"/>
                <w:lang w:val="en-US" w:eastAsia="ja-JP"/>
              </w:rPr>
              <w:t>PoC</w:t>
            </w:r>
            <w:proofErr w:type="spellEnd"/>
          </w:p>
        </w:tc>
      </w:tr>
      <w:tr w:rsidR="00121D48" w:rsidRPr="00CA2B67" w14:paraId="024CAAF4"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Scope</w:t>
            </w:r>
            <w:r>
              <w:rPr>
                <w:rStyle w:val="EndnoteReference"/>
                <w:rFonts w:ascii="Arial" w:eastAsia="ＭＳ Ｐゴシック" w:hAnsi="Arial" w:cs="Arial"/>
                <w:color w:val="000000"/>
                <w:lang w:val="en-US" w:eastAsia="ja-JP"/>
              </w:rPr>
              <w:endnoteReference w:id="2"/>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31867EC2" w:rsidR="00121D48" w:rsidRPr="00CA2B67" w:rsidRDefault="002906AE" w:rsidP="00121D4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Estimate and detect the risk of the catastrophic collapses of old bridges</w:t>
            </w:r>
          </w:p>
        </w:tc>
      </w:tr>
      <w:tr w:rsidR="00121D48" w:rsidRPr="00CA2B67" w14:paraId="2CA06EA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Objective(s)</w:t>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6301B12A" w:rsidR="00121D48" w:rsidRPr="00CA2B67" w:rsidRDefault="002906AE" w:rsidP="00121D4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Enables estimation of failure, state of degradation with surface-mounted sensors</w:t>
            </w:r>
          </w:p>
        </w:tc>
      </w:tr>
      <w:tr w:rsidR="002E2D8A" w:rsidRPr="00CA2B67" w14:paraId="5A249C4F"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Narrative</w:t>
            </w:r>
          </w:p>
        </w:tc>
        <w:tc>
          <w:tcPr>
            <w:tcW w:w="1951"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Short description</w:t>
            </w:r>
            <w:r w:rsidRPr="00CA2B67">
              <w:rPr>
                <w:rFonts w:ascii="Arial" w:eastAsia="ＭＳ Ｐゴシック" w:hAnsi="Arial" w:cs="Arial"/>
                <w:color w:val="000000"/>
                <w:lang w:val="en-US" w:eastAsia="ja-JP"/>
              </w:rPr>
              <w:br/>
              <w:t>(not more than 150 words)</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1A701D66" w14:textId="19983675" w:rsidR="00D8357F" w:rsidRPr="00CA2B67" w:rsidRDefault="002906AE" w:rsidP="002906A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Development of sensor data analysis technology that can aggregate vibration data from sensors attached to the surface of a bridge, and then estimate the degree of the bridge's internal damage</w:t>
            </w:r>
          </w:p>
        </w:tc>
      </w:tr>
      <w:tr w:rsidR="002E2D8A" w:rsidRPr="00CA2B67" w14:paraId="7DDECAE6"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Complete</w:t>
            </w:r>
            <w:r w:rsidRPr="00CA2B67">
              <w:rPr>
                <w:rFonts w:ascii="Arial" w:eastAsia="ＭＳ Ｐゴシック" w:hAnsi="Arial" w:cs="Arial"/>
                <w:color w:val="000000"/>
                <w:lang w:val="en-US" w:eastAsia="ja-JP"/>
              </w:rPr>
              <w:br/>
              <w:t>description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7C0E3835" w14:textId="77777777" w:rsidR="002906AE" w:rsidRDefault="002906AE" w:rsidP="002906AE">
            <w:pPr>
              <w:tabs>
                <w:tab w:val="clear" w:pos="403"/>
                <w:tab w:val="left" w:pos="720"/>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Inspection tasks for bridges are usually performed visually to check the structure for damage. The issue with relying only on information gathered visually, however, is that inspectors can only identify abnormalities or anomalies appearing on the structure's surface, and are consequently unable to grasp information regarding the degree of internal damage. There have been many trials in which sensors were attached to the surface of the bridge deck, using vibration data to evaluate the level of damage. With the methods used until now, accurately understanding the degree of damage within the interior of the deck was an issue.</w:t>
            </w:r>
          </w:p>
          <w:p w14:paraId="7AED54E5" w14:textId="39C01952" w:rsidR="00D8357F" w:rsidRPr="00CA2B67" w:rsidRDefault="002906AE" w:rsidP="002E2D8A">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Deep learning AI technology for time-series data can discover anomalies and express in numerical terms degrees of change that demonstrate drastic changes in the status of objects such as structures or machinery, and detect the occurrence of abnormalities or distinctive changes. The technology learns from the geometric characteristics extracted from complex, constantly changing time-series vibration data collected by sensors equipped on </w:t>
            </w:r>
            <w:proofErr w:type="spellStart"/>
            <w:r>
              <w:rPr>
                <w:rFonts w:ascii="Arial" w:eastAsia="ＭＳ Ｐゴシック" w:hAnsi="Arial" w:cs="Arial"/>
                <w:color w:val="000000"/>
                <w:lang w:val="en-US" w:eastAsia="ja-JP"/>
              </w:rPr>
              <w:t>IoT</w:t>
            </w:r>
            <w:proofErr w:type="spellEnd"/>
            <w:r>
              <w:rPr>
                <w:rFonts w:ascii="Arial" w:eastAsia="ＭＳ Ｐゴシック" w:hAnsi="Arial" w:cs="Arial"/>
                <w:color w:val="000000"/>
                <w:lang w:val="en-US" w:eastAsia="ja-JP"/>
              </w:rPr>
              <w:t xml:space="preserve"> devices, thus enabling users to estimate and validate the state of degradation or failure in a variety of social infrastructure or machinery. This technology has now been confirmed through the application of verification test data from RAIMS (Research Association for Infrastructure Monitoring System).</w:t>
            </w:r>
          </w:p>
        </w:tc>
      </w:tr>
      <w:tr w:rsidR="00DB1483" w:rsidRPr="00CA2B67" w14:paraId="79124789"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2D88DF2F" w14:textId="2726B92A"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hAnsi="Arial" w:cs="Arial"/>
                <w:lang w:val="en-US"/>
              </w:rPr>
              <w:t>Stakeholders</w:t>
            </w:r>
            <w:r>
              <w:rPr>
                <w:rStyle w:val="EndnoteReference"/>
                <w:rFonts w:ascii="Arial" w:hAnsi="Arial" w:cs="Arial"/>
                <w:lang w:val="en-US"/>
              </w:rPr>
              <w:endnoteReference w:id="3"/>
            </w:r>
          </w:p>
        </w:tc>
        <w:tc>
          <w:tcPr>
            <w:tcW w:w="1951" w:type="dxa"/>
            <w:gridSpan w:val="4"/>
            <w:tcBorders>
              <w:top w:val="nil"/>
              <w:left w:val="nil"/>
              <w:bottom w:val="single" w:sz="4" w:space="0" w:color="auto"/>
              <w:right w:val="single" w:sz="4" w:space="0" w:color="auto"/>
            </w:tcBorders>
            <w:shd w:val="clear" w:color="auto" w:fill="auto"/>
            <w:noWrap/>
            <w:vAlign w:val="center"/>
          </w:tcPr>
          <w:p w14:paraId="428EBDC0" w14:textId="77777777" w:rsidR="00DB1483" w:rsidRPr="00CA2B67" w:rsidRDefault="00DB1483" w:rsidP="00104455">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25C53E5A"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ＭＳ Ｐゴシック" w:hAnsi="Arial" w:cs="Arial"/>
                <w:color w:val="000000"/>
                <w:lang w:val="en-US"/>
              </w:rPr>
            </w:pPr>
            <w:r w:rsidRPr="00CD50AD">
              <w:rPr>
                <w:rFonts w:ascii="Arial" w:eastAsia="ＭＳ Ｐゴシック" w:hAnsi="Arial" w:cs="Arial"/>
                <w:color w:val="000000"/>
                <w:lang w:val="en-US"/>
              </w:rPr>
              <w:t>Stakeholders’</w:t>
            </w:r>
          </w:p>
          <w:p w14:paraId="597CC729" w14:textId="12C40C70"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rPr>
              <w:t>assets, values</w:t>
            </w:r>
            <w:r>
              <w:rPr>
                <w:rStyle w:val="EndnoteReference"/>
                <w:rFonts w:ascii="Arial" w:eastAsia="ＭＳ Ｐゴシック" w:hAnsi="Arial" w:cs="Arial"/>
                <w:color w:val="000000"/>
                <w:lang w:val="en-US"/>
              </w:rPr>
              <w:endnoteReference w:id="4"/>
            </w:r>
          </w:p>
        </w:tc>
        <w:tc>
          <w:tcPr>
            <w:tcW w:w="1951" w:type="dxa"/>
            <w:gridSpan w:val="4"/>
            <w:tcBorders>
              <w:top w:val="nil"/>
              <w:left w:val="nil"/>
              <w:bottom w:val="single" w:sz="4" w:space="0" w:color="auto"/>
              <w:right w:val="single" w:sz="4" w:space="0" w:color="auto"/>
            </w:tcBorders>
            <w:shd w:val="clear" w:color="auto" w:fill="auto"/>
            <w:noWrap/>
            <w:vAlign w:val="center"/>
          </w:tcPr>
          <w:p w14:paraId="335D8507" w14:textId="77777777" w:rsidR="00DB1483" w:rsidRPr="00CA2B67" w:rsidRDefault="00DB1483" w:rsidP="00104455">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7983050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118D920C" w14:textId="09508168"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D50AD">
              <w:rPr>
                <w:rFonts w:ascii="Arial" w:eastAsia="ＭＳ Ｐゴシック" w:hAnsi="Arial" w:cs="Arial"/>
                <w:color w:val="000000"/>
                <w:lang w:val="en-US"/>
              </w:rPr>
              <w:t>System’s threats</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and</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vulnerabilities</w:t>
            </w:r>
            <w:r w:rsidR="00F721F0">
              <w:rPr>
                <w:rStyle w:val="EndnoteReference"/>
                <w:rFonts w:ascii="Arial" w:eastAsia="ＭＳ Ｐゴシック" w:hAnsi="Arial" w:cs="Arial"/>
                <w:color w:val="000000"/>
                <w:lang w:val="en-US"/>
              </w:rPr>
              <w:endnoteReference w:id="5"/>
            </w:r>
          </w:p>
        </w:tc>
        <w:tc>
          <w:tcPr>
            <w:tcW w:w="1951" w:type="dxa"/>
            <w:gridSpan w:val="4"/>
            <w:tcBorders>
              <w:top w:val="nil"/>
              <w:left w:val="nil"/>
              <w:bottom w:val="single" w:sz="4" w:space="0" w:color="auto"/>
              <w:right w:val="single" w:sz="4" w:space="0" w:color="auto"/>
            </w:tcBorders>
            <w:shd w:val="clear" w:color="auto" w:fill="auto"/>
            <w:noWrap/>
            <w:vAlign w:val="center"/>
          </w:tcPr>
          <w:p w14:paraId="758E91F9" w14:textId="77777777" w:rsidR="00DB1483" w:rsidRPr="00CA2B67" w:rsidRDefault="00DB1483" w:rsidP="00104455">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5D1EF3C2"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Key performance indicators (KPIs)</w:t>
            </w:r>
          </w:p>
        </w:tc>
        <w:tc>
          <w:tcPr>
            <w:tcW w:w="1951"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p>
        </w:tc>
        <w:tc>
          <w:tcPr>
            <w:tcW w:w="1951"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Name</w:t>
            </w:r>
          </w:p>
        </w:tc>
        <w:tc>
          <w:tcPr>
            <w:tcW w:w="1951"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Description</w:t>
            </w:r>
          </w:p>
        </w:tc>
        <w:tc>
          <w:tcPr>
            <w:tcW w:w="1951"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Reference to mentioned use case objectives</w:t>
            </w:r>
          </w:p>
        </w:tc>
      </w:tr>
      <w:tr w:rsidR="00DB1483" w:rsidRPr="00CA2B67" w14:paraId="52443DA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077A4B85"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79AFF252" w14:textId="28E52FB6" w:rsidR="00DB1483" w:rsidRPr="00CA2B67" w:rsidRDefault="002906AE"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1</w:t>
            </w:r>
          </w:p>
        </w:tc>
        <w:tc>
          <w:tcPr>
            <w:tcW w:w="1951" w:type="dxa"/>
            <w:tcBorders>
              <w:top w:val="nil"/>
              <w:left w:val="nil"/>
              <w:bottom w:val="single" w:sz="4" w:space="0" w:color="auto"/>
              <w:right w:val="single" w:sz="4" w:space="0" w:color="auto"/>
            </w:tcBorders>
            <w:shd w:val="clear" w:color="auto" w:fill="auto"/>
            <w:vAlign w:val="center"/>
          </w:tcPr>
          <w:p w14:paraId="6DF03F27" w14:textId="059FF658" w:rsidR="00DB1483" w:rsidRPr="00CA2B67" w:rsidRDefault="002906AE"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Anomaly detection</w:t>
            </w:r>
          </w:p>
        </w:tc>
        <w:tc>
          <w:tcPr>
            <w:tcW w:w="1951" w:type="dxa"/>
            <w:tcBorders>
              <w:top w:val="nil"/>
              <w:left w:val="nil"/>
              <w:bottom w:val="single" w:sz="4" w:space="0" w:color="auto"/>
              <w:right w:val="single" w:sz="4" w:space="0" w:color="auto"/>
            </w:tcBorders>
            <w:shd w:val="clear" w:color="auto" w:fill="auto"/>
            <w:vAlign w:val="center"/>
          </w:tcPr>
          <w:p w14:paraId="34B3B5AD" w14:textId="7BD1C2FA" w:rsidR="00DB1483" w:rsidRPr="00CA2B67" w:rsidRDefault="002906AE"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The geometric characteristics extracted from the vibration data by this </w:t>
            </w:r>
            <w:r>
              <w:rPr>
                <w:rFonts w:ascii="Arial" w:eastAsia="ＭＳ Ｐゴシック" w:hAnsi="Arial" w:cs="Arial"/>
                <w:color w:val="000000"/>
                <w:lang w:val="en-US" w:eastAsia="ja-JP"/>
              </w:rPr>
              <w:lastRenderedPageBreak/>
              <w:t>technology would appear as a single cluster when the bridge was intact, but the shape changes when the bridge had developed internal damage.</w:t>
            </w:r>
          </w:p>
        </w:tc>
        <w:tc>
          <w:tcPr>
            <w:tcW w:w="1951" w:type="dxa"/>
            <w:tcBorders>
              <w:top w:val="nil"/>
              <w:left w:val="nil"/>
              <w:bottom w:val="single" w:sz="4" w:space="0" w:color="auto"/>
              <w:right w:val="single" w:sz="4" w:space="0" w:color="auto"/>
            </w:tcBorders>
            <w:shd w:val="clear" w:color="auto" w:fill="auto"/>
            <w:vAlign w:val="center"/>
          </w:tcPr>
          <w:p w14:paraId="6D4D8716" w14:textId="2F09E00D" w:rsidR="00DB1483" w:rsidRPr="00CA2B67" w:rsidRDefault="002906AE"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lastRenderedPageBreak/>
              <w:t>Enabling to detect anomalous feature</w:t>
            </w:r>
          </w:p>
        </w:tc>
      </w:tr>
      <w:tr w:rsidR="00DB1483" w:rsidRPr="00CA2B67" w14:paraId="7E7ABD4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1EFDB717"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665A029" w14:textId="7B641C8D" w:rsidR="00DB1483" w:rsidRPr="00CA2B67" w:rsidRDefault="002906AE"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2</w:t>
            </w:r>
          </w:p>
        </w:tc>
        <w:tc>
          <w:tcPr>
            <w:tcW w:w="1951" w:type="dxa"/>
            <w:tcBorders>
              <w:top w:val="nil"/>
              <w:left w:val="nil"/>
              <w:bottom w:val="single" w:sz="4" w:space="0" w:color="auto"/>
              <w:right w:val="single" w:sz="4" w:space="0" w:color="auto"/>
            </w:tcBorders>
            <w:shd w:val="clear" w:color="auto" w:fill="auto"/>
            <w:vAlign w:val="center"/>
          </w:tcPr>
          <w:p w14:paraId="03BDFE38" w14:textId="1E2838C2" w:rsidR="00DB1483" w:rsidRPr="00CA2B67" w:rsidRDefault="002906AE"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Change detection</w:t>
            </w:r>
          </w:p>
        </w:tc>
        <w:tc>
          <w:tcPr>
            <w:tcW w:w="1951" w:type="dxa"/>
            <w:tcBorders>
              <w:top w:val="nil"/>
              <w:left w:val="nil"/>
              <w:bottom w:val="single" w:sz="4" w:space="0" w:color="auto"/>
              <w:right w:val="single" w:sz="4" w:space="0" w:color="auto"/>
            </w:tcBorders>
            <w:shd w:val="clear" w:color="auto" w:fill="auto"/>
            <w:vAlign w:val="center"/>
          </w:tcPr>
          <w:p w14:paraId="2ACE5C19" w14:textId="291D3339" w:rsidR="00DB1483" w:rsidRPr="00CA2B67" w:rsidRDefault="002906AE"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The degree of abnormality and the degree of change that can be calculated by converting the geometric characteristics to numerical values correspond with the results measured by strain sensors embedded within the bridge deck.</w:t>
            </w:r>
          </w:p>
        </w:tc>
        <w:tc>
          <w:tcPr>
            <w:tcW w:w="1951" w:type="dxa"/>
            <w:tcBorders>
              <w:top w:val="nil"/>
              <w:left w:val="nil"/>
              <w:bottom w:val="single" w:sz="4" w:space="0" w:color="auto"/>
              <w:right w:val="single" w:sz="4" w:space="0" w:color="auto"/>
            </w:tcBorders>
            <w:shd w:val="clear" w:color="auto" w:fill="auto"/>
            <w:vAlign w:val="center"/>
          </w:tcPr>
          <w:p w14:paraId="49AFF5EF" w14:textId="6C39E381" w:rsidR="00DB1483" w:rsidRPr="00CA2B67" w:rsidRDefault="002906AE"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Precise measure of anomaly</w:t>
            </w:r>
          </w:p>
        </w:tc>
      </w:tr>
      <w:tr w:rsidR="00DB1483" w:rsidRPr="00CA2B67" w14:paraId="5B4727A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5BBEC0A"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555B0BBB" w14:textId="7D042D89"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0DDE572" w14:textId="3838FB0F"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7BB7F817" w14:textId="4D7FBB15"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5BB5749A" w14:textId="1243C8EC"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42975A8B"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AI features</w:t>
            </w:r>
          </w:p>
        </w:tc>
        <w:tc>
          <w:tcPr>
            <w:tcW w:w="1951" w:type="dxa"/>
            <w:tcBorders>
              <w:top w:val="nil"/>
              <w:left w:val="nil"/>
              <w:bottom w:val="single" w:sz="4" w:space="0" w:color="auto"/>
              <w:right w:val="single" w:sz="4" w:space="0" w:color="auto"/>
            </w:tcBorders>
            <w:shd w:val="clear" w:color="auto" w:fill="auto"/>
            <w:noWrap/>
            <w:vAlign w:val="center"/>
            <w:hideMark/>
          </w:tcPr>
          <w:p w14:paraId="730AB0C3" w14:textId="7F34F07B"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Ta</w:t>
            </w:r>
            <w:r w:rsidR="00347C30">
              <w:rPr>
                <w:rFonts w:ascii="Arial" w:eastAsia="ＭＳ Ｐゴシック" w:hAnsi="Arial" w:cs="Arial"/>
                <w:color w:val="000000"/>
                <w:lang w:val="en-US" w:eastAsia="ja-JP"/>
              </w:rPr>
              <w:t>sk</w:t>
            </w:r>
            <w:r w:rsidRPr="00CA2B67">
              <w:rPr>
                <w:rFonts w:ascii="Arial" w:eastAsia="ＭＳ Ｐゴシック" w:hAnsi="Arial" w:cs="Arial"/>
                <w:color w:val="000000"/>
                <w:lang w:val="en-US" w:eastAsia="ja-JP"/>
              </w:rPr>
              <w:t>(s)</w:t>
            </w:r>
          </w:p>
        </w:tc>
        <w:tc>
          <w:tcPr>
            <w:tcW w:w="1951"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10EECB0B" w:rsidR="00DB1483" w:rsidRPr="00CA2B67" w:rsidRDefault="002906AE"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Recognition</w:t>
            </w:r>
          </w:p>
        </w:tc>
      </w:tr>
      <w:tr w:rsidR="00DB1483" w:rsidRPr="00CA2B67" w14:paraId="1FE1F901"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37958D8"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215221D9" w14:textId="1E96683C"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Method(s)</w:t>
            </w:r>
            <w:r>
              <w:rPr>
                <w:rStyle w:val="EndnoteReference"/>
                <w:rFonts w:ascii="Arial" w:eastAsia="ＭＳ Ｐゴシック" w:hAnsi="Arial" w:cs="Arial"/>
                <w:color w:val="000000"/>
                <w:lang w:val="en-US" w:eastAsia="ja-JP"/>
              </w:rPr>
              <w:endnoteReference w:id="6"/>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0DD40366" w:rsidR="00DB1483" w:rsidRPr="006E37F3" w:rsidRDefault="002906AE" w:rsidP="00DB1483">
            <w:pPr>
              <w:tabs>
                <w:tab w:val="clear" w:pos="403"/>
              </w:tabs>
              <w:spacing w:after="0" w:line="240" w:lineRule="auto"/>
              <w:jc w:val="left"/>
              <w:rPr>
                <w:rFonts w:ascii="Arial" w:hAnsi="Arial" w:cs="Arial"/>
                <w:color w:val="000000"/>
                <w:lang w:val="en-US"/>
              </w:rPr>
            </w:pPr>
            <w:r>
              <w:rPr>
                <w:rFonts w:ascii="Arial" w:hAnsi="Arial" w:cs="Arial"/>
                <w:lang w:eastAsia="ja-JP"/>
              </w:rPr>
              <w:t>Topological Data Analysis</w:t>
            </w:r>
          </w:p>
        </w:tc>
      </w:tr>
      <w:tr w:rsidR="00DB1483" w:rsidRPr="00CA2B67" w14:paraId="7680123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3B1A6E03"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7FFB29F9" w14:textId="42072F34"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Hardware</w:t>
            </w:r>
            <w:r>
              <w:rPr>
                <w:rStyle w:val="EndnoteReference"/>
                <w:rFonts w:ascii="Arial" w:eastAsia="ＭＳ Ｐゴシック" w:hAnsi="Arial" w:cs="Arial"/>
                <w:color w:val="000000"/>
                <w:lang w:val="en-US" w:eastAsia="ja-JP"/>
              </w:rPr>
              <w:endnoteReference w:id="7"/>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DB1483" w:rsidRPr="00CA2B67" w:rsidRDefault="00DB1483" w:rsidP="00DB1483">
            <w:pPr>
              <w:pStyle w:val="CommentText"/>
            </w:pPr>
          </w:p>
        </w:tc>
      </w:tr>
      <w:tr w:rsidR="00DB1483" w:rsidRPr="00CA2B67" w14:paraId="08AB0385" w14:textId="77777777" w:rsidTr="00ED6553">
        <w:tc>
          <w:tcPr>
            <w:tcW w:w="1951" w:type="dxa"/>
            <w:vMerge/>
            <w:tcBorders>
              <w:top w:val="nil"/>
              <w:left w:val="single" w:sz="4" w:space="0" w:color="auto"/>
              <w:bottom w:val="single" w:sz="4" w:space="0" w:color="auto"/>
              <w:right w:val="single" w:sz="4" w:space="0" w:color="auto"/>
            </w:tcBorders>
            <w:vAlign w:val="center"/>
          </w:tcPr>
          <w:p w14:paraId="3EEF9A5C"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9017F50" w14:textId="123E3F8F"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Topology</w:t>
            </w:r>
            <w:r w:rsidR="00D00660">
              <w:rPr>
                <w:rStyle w:val="EndnoteReference"/>
                <w:rFonts w:ascii="Arial" w:eastAsia="ＭＳ Ｐゴシック" w:hAnsi="Arial" w:cs="Arial"/>
                <w:color w:val="000000"/>
                <w:lang w:val="en-US" w:eastAsia="ja-JP"/>
              </w:rPr>
              <w:endnoteReference w:id="8"/>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D8357F" w:rsidRPr="00CA2B67" w:rsidRDefault="00D8357F" w:rsidP="00D8357F">
            <w:pPr>
              <w:pStyle w:val="CommentText"/>
              <w:rPr>
                <w:lang w:eastAsia="ja-JP"/>
              </w:rPr>
            </w:pPr>
          </w:p>
        </w:tc>
      </w:tr>
      <w:tr w:rsidR="00DB1483" w:rsidRPr="00CA2B67" w14:paraId="2C06D56D"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2A48069A" w14:textId="0F9AB44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831F905" w14:textId="05ED82B2"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Terms and concepts used</w:t>
            </w:r>
            <w:r>
              <w:rPr>
                <w:rStyle w:val="EndnoteReference"/>
                <w:rFonts w:ascii="Arial" w:eastAsia="ＭＳ Ｐゴシック" w:hAnsi="Arial" w:cs="Arial"/>
                <w:color w:val="000000"/>
                <w:lang w:val="en-US" w:eastAsia="ja-JP"/>
              </w:rPr>
              <w:endnoteReference w:id="9"/>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0F3F55C1" w:rsidR="00DB1483" w:rsidRPr="006E37F3" w:rsidRDefault="002906AE" w:rsidP="00DB1483">
            <w:pPr>
              <w:tabs>
                <w:tab w:val="clear" w:pos="403"/>
              </w:tabs>
              <w:spacing w:after="0" w:line="240" w:lineRule="auto"/>
              <w:jc w:val="left"/>
              <w:rPr>
                <w:rFonts w:ascii="Arial" w:hAnsi="Arial" w:cs="Arial"/>
                <w:color w:val="000000"/>
                <w:lang w:val="en-US"/>
              </w:rPr>
            </w:pPr>
            <w:r>
              <w:rPr>
                <w:rFonts w:ascii="Arial" w:hAnsi="Arial" w:cs="Arial"/>
              </w:rPr>
              <w:t>Topological Data Ana</w:t>
            </w:r>
            <w:r>
              <w:rPr>
                <w:rFonts w:ascii="Arial" w:hAnsi="Arial" w:cs="Arial"/>
                <w:lang w:eastAsia="ja-JP"/>
              </w:rPr>
              <w:t>l</w:t>
            </w:r>
            <w:r>
              <w:rPr>
                <w:rFonts w:ascii="Arial" w:hAnsi="Arial" w:cs="Arial"/>
              </w:rPr>
              <w:t>ysis, Anomaly Detection</w:t>
            </w:r>
            <w:r>
              <w:rPr>
                <w:rFonts w:ascii="Arial" w:hAnsi="Arial" w:cs="Arial"/>
                <w:lang w:eastAsia="ja-JP"/>
              </w:rPr>
              <w:t>, Time Series Classification, Convolutional Neural Network</w:t>
            </w:r>
          </w:p>
        </w:tc>
      </w:tr>
      <w:tr w:rsidR="00DB1483" w:rsidRPr="00CA2B67" w14:paraId="126C058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3FD9BD93" w14:textId="77777777" w:rsidR="00CE3EA3" w:rsidRDefault="00AB5186" w:rsidP="001C0822">
            <w:pPr>
              <w:tabs>
                <w:tab w:val="clear" w:pos="403"/>
              </w:tabs>
              <w:wordWrap w:val="0"/>
              <w:spacing w:after="0" w:line="240" w:lineRule="auto"/>
              <w:jc w:val="right"/>
              <w:rPr>
                <w:rFonts w:ascii="Arial" w:eastAsia="ＭＳ Ｐゴシック" w:hAnsi="Arial" w:cs="Arial"/>
                <w:color w:val="000000"/>
                <w:lang w:val="en-US" w:eastAsia="ja-JP"/>
              </w:rPr>
            </w:pPr>
            <w:r w:rsidRPr="00AB5186">
              <w:rPr>
                <w:rFonts w:ascii="Arial" w:eastAsia="ＭＳ Ｐゴシック" w:hAnsi="Arial" w:cs="Arial"/>
                <w:color w:val="000000"/>
                <w:lang w:val="en-US" w:eastAsia="ja-JP"/>
              </w:rPr>
              <w:t xml:space="preserve">Standardization </w:t>
            </w:r>
          </w:p>
          <w:p w14:paraId="1D367072" w14:textId="6CFF3E7B" w:rsidR="00DB1483" w:rsidRPr="00CA2B67" w:rsidRDefault="00F036FC" w:rsidP="00CE3EA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opportunities</w:t>
            </w:r>
            <w:r w:rsidR="00AB5186" w:rsidRPr="00AB5186">
              <w:rPr>
                <w:rFonts w:ascii="Arial" w:eastAsia="ＭＳ Ｐゴシック" w:hAnsi="Arial" w:cs="Arial"/>
                <w:color w:val="000000"/>
                <w:lang w:val="en-US" w:eastAsia="ja-JP"/>
              </w:rPr>
              <w:t>/</w:t>
            </w:r>
            <w:r w:rsidR="00CE3EA3">
              <w:rPr>
                <w:rFonts w:ascii="Arial" w:eastAsia="ＭＳ Ｐゴシック" w:hAnsi="Arial" w:cs="Arial"/>
                <w:color w:val="000000"/>
                <w:lang w:val="en-US" w:eastAsia="ja-JP"/>
              </w:rPr>
              <w:t xml:space="preserve"> </w:t>
            </w:r>
            <w:r w:rsidR="00AB5186" w:rsidRPr="00AB5186">
              <w:rPr>
                <w:rFonts w:ascii="Arial" w:eastAsia="ＭＳ Ｐゴシック" w:hAnsi="Arial" w:cs="Arial"/>
                <w:color w:val="000000"/>
                <w:lang w:val="en-US" w:eastAsia="ja-JP"/>
              </w:rPr>
              <w:t>requirements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4C848195" w14:textId="3D378FD2" w:rsidR="00DB1483" w:rsidRPr="0061703E" w:rsidRDefault="00DB1483" w:rsidP="00DB1483">
            <w:pPr>
              <w:tabs>
                <w:tab w:val="clear" w:pos="403"/>
              </w:tabs>
              <w:spacing w:after="0" w:line="240" w:lineRule="auto"/>
              <w:jc w:val="left"/>
              <w:rPr>
                <w:rFonts w:ascii="Arial" w:hAnsi="Arial" w:cs="Arial"/>
                <w:color w:val="000000"/>
              </w:rPr>
            </w:pPr>
          </w:p>
        </w:tc>
      </w:tr>
      <w:tr w:rsidR="00DB1483" w:rsidRPr="00CA2B67" w14:paraId="2B115065"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Challenges and issues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6C5D6F1A" w14:textId="77777777" w:rsidR="002906AE" w:rsidRDefault="002906AE" w:rsidP="002906AE">
            <w:pPr>
              <w:tabs>
                <w:tab w:val="clear" w:pos="403"/>
                <w:tab w:val="left" w:pos="720"/>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Challenges: Detecting the occurrence of internal stress using this technology allows for the estimation of damage in its earliest stages, and can contribute to early countermeasures.</w:t>
            </w:r>
          </w:p>
          <w:p w14:paraId="6CC70B81" w14:textId="577C25EA" w:rsidR="00DB1483" w:rsidRPr="00CA2B67" w:rsidRDefault="002906AE" w:rsidP="002906A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Issues: Conduct trials using vibration data from actual bridges, with the goal of real-world usage.</w:t>
            </w:r>
          </w:p>
        </w:tc>
      </w:tr>
      <w:tr w:rsidR="00FD293C" w:rsidRPr="00CA2B67" w14:paraId="7C356FF6" w14:textId="77777777" w:rsidTr="00ED6553">
        <w:tc>
          <w:tcPr>
            <w:tcW w:w="1951"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S</w:t>
            </w:r>
            <w:r w:rsidRPr="00FA0489">
              <w:rPr>
                <w:rFonts w:ascii="Arial" w:eastAsia="ＭＳ Ｐゴシック" w:hAnsi="Arial" w:cs="Arial"/>
                <w:color w:val="000000"/>
                <w:lang w:val="en-US" w:eastAsia="ja-JP"/>
              </w:rPr>
              <w:t xml:space="preserve">ocietal </w:t>
            </w:r>
          </w:p>
          <w:p w14:paraId="59B3A5B1" w14:textId="5BDC2095"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r w:rsidRPr="00FA0489">
              <w:rPr>
                <w:rFonts w:ascii="Arial" w:eastAsia="ＭＳ Ｐゴシック" w:hAnsi="Arial" w:cs="Arial"/>
                <w:color w:val="000000"/>
                <w:lang w:val="en-US" w:eastAsia="ja-JP"/>
              </w:rPr>
              <w:t>concerns</w:t>
            </w:r>
          </w:p>
        </w:tc>
        <w:tc>
          <w:tcPr>
            <w:tcW w:w="1951" w:type="dxa"/>
            <w:tcBorders>
              <w:top w:val="single" w:sz="4" w:space="0" w:color="auto"/>
              <w:left w:val="nil"/>
              <w:bottom w:val="single" w:sz="4" w:space="0" w:color="auto"/>
              <w:right w:val="single" w:sz="4" w:space="0" w:color="auto"/>
            </w:tcBorders>
            <w:shd w:val="clear" w:color="auto" w:fill="auto"/>
            <w:vAlign w:val="center"/>
          </w:tcPr>
          <w:p w14:paraId="3F6E0D9F" w14:textId="0B040A7E" w:rsidR="00FD293C" w:rsidRPr="00CA2B67" w:rsidRDefault="00FD293C"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w:t>
            </w:r>
            <w:r w:rsidRPr="00CA2B67">
              <w:rPr>
                <w:rFonts w:ascii="Arial" w:eastAsia="ＭＳ Ｐゴシック" w:hAnsi="Arial" w:cs="Arial"/>
                <w:color w:val="000000"/>
                <w:lang w:val="en-US" w:eastAsia="ja-JP"/>
              </w:rPr>
              <w:t>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254444B6" w14:textId="77777777" w:rsidR="00FD293C" w:rsidRDefault="00FD293C" w:rsidP="00DB1483">
            <w:pPr>
              <w:tabs>
                <w:tab w:val="clear" w:pos="403"/>
              </w:tabs>
              <w:spacing w:after="0" w:line="240" w:lineRule="auto"/>
              <w:jc w:val="left"/>
              <w:rPr>
                <w:rFonts w:ascii="Arial" w:eastAsia="ＭＳ Ｐゴシック" w:hAnsi="Arial" w:cs="Arial"/>
                <w:color w:val="000000"/>
                <w:lang w:val="en-US" w:eastAsia="ja-JP"/>
              </w:rPr>
            </w:pPr>
          </w:p>
          <w:p w14:paraId="470CB935" w14:textId="77777777" w:rsidR="00535074" w:rsidRDefault="00535074" w:rsidP="00DB1483">
            <w:pPr>
              <w:tabs>
                <w:tab w:val="clear" w:pos="403"/>
              </w:tabs>
              <w:spacing w:after="0" w:line="240" w:lineRule="auto"/>
              <w:jc w:val="left"/>
              <w:rPr>
                <w:rFonts w:ascii="Arial" w:eastAsia="ＭＳ Ｐゴシック" w:hAnsi="Arial" w:cs="Arial"/>
                <w:color w:val="000000"/>
                <w:lang w:val="en-US" w:eastAsia="ja-JP"/>
              </w:rPr>
            </w:pPr>
          </w:p>
          <w:p w14:paraId="5BE85C9A" w14:textId="6FA24641" w:rsidR="00535074" w:rsidRPr="00CA2B67" w:rsidRDefault="00535074" w:rsidP="00DB1483">
            <w:pPr>
              <w:tabs>
                <w:tab w:val="clear" w:pos="403"/>
              </w:tabs>
              <w:spacing w:after="0" w:line="240" w:lineRule="auto"/>
              <w:jc w:val="left"/>
              <w:rPr>
                <w:rFonts w:ascii="Arial" w:eastAsia="ＭＳ Ｐゴシック" w:hAnsi="Arial" w:cs="Arial"/>
                <w:color w:val="000000"/>
                <w:lang w:val="en-US" w:eastAsia="ja-JP"/>
              </w:rPr>
            </w:pPr>
          </w:p>
        </w:tc>
      </w:tr>
      <w:tr w:rsidR="00FD293C" w:rsidRPr="00CA2B67" w14:paraId="5E386821" w14:textId="77777777" w:rsidTr="00ED6553">
        <w:tc>
          <w:tcPr>
            <w:tcW w:w="1951" w:type="dxa"/>
            <w:vMerge/>
            <w:tcBorders>
              <w:left w:val="single" w:sz="4" w:space="0" w:color="auto"/>
              <w:bottom w:val="single" w:sz="4" w:space="0" w:color="auto"/>
              <w:right w:val="single" w:sz="4" w:space="0" w:color="auto"/>
            </w:tcBorders>
            <w:shd w:val="clear" w:color="auto" w:fill="auto"/>
            <w:vAlign w:val="center"/>
          </w:tcPr>
          <w:p w14:paraId="3A330B40" w14:textId="77777777"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A796EF4" w14:textId="5AB777C9" w:rsidR="00FD293C" w:rsidRPr="00CA2B67" w:rsidRDefault="00BB5222"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SDG</w:t>
            </w:r>
            <w:r>
              <w:rPr>
                <w:rFonts w:ascii="Arial" w:eastAsia="ＭＳ Ｐゴシック" w:hAnsi="Arial" w:cs="Arial"/>
                <w:color w:val="000000"/>
                <w:lang w:val="en-US" w:eastAsia="ja-JP"/>
              </w:rPr>
              <w:t>s</w:t>
            </w:r>
            <w:r w:rsidR="00F81DB5">
              <w:rPr>
                <w:rStyle w:val="EndnoteReference"/>
                <w:rFonts w:ascii="Arial" w:eastAsia="ＭＳ Ｐゴシック" w:hAnsi="Arial" w:cs="Arial"/>
                <w:color w:val="000000"/>
                <w:lang w:val="en-US" w:eastAsia="ja-JP"/>
              </w:rPr>
              <w:endnoteReference w:id="10"/>
            </w:r>
          </w:p>
        </w:tc>
        <w:sdt>
          <w:sdtPr>
            <w:rPr>
              <w:rFonts w:ascii="Arial" w:eastAsia="ＭＳ Ｐゴシック" w:hAnsi="Arial" w:cs="Arial"/>
              <w:color w:val="000000"/>
              <w:lang w:val="en-US" w:eastAsia="ja-JP"/>
            </w:rPr>
            <w:alias w:val="Select from pull-down menu"/>
            <w:tag w:val="Select from pull-down menu"/>
            <w:id w:val="1216780892"/>
            <w:placeholder>
              <w:docPart w:val="DefaultPlaceholder_1081868575"/>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Content>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534376FB" w14:textId="57112B19" w:rsidR="00FD293C" w:rsidRPr="00CA2B67" w:rsidRDefault="006C2EB2"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(Select from pull-down menu)</w:t>
                </w:r>
              </w:p>
            </w:tc>
          </w:sdtContent>
        </w:sdt>
      </w:tr>
    </w:tbl>
    <w:p w14:paraId="551BC735" w14:textId="77777777" w:rsidR="00545E89" w:rsidRPr="00721241" w:rsidRDefault="00545E89" w:rsidP="001A33D0">
      <w:pPr>
        <w:rPr>
          <w:lang w:eastAsia="ja-JP"/>
        </w:rPr>
      </w:pPr>
    </w:p>
    <w:p w14:paraId="69979CAB" w14:textId="4C962282" w:rsidR="001823EB" w:rsidRPr="00592CC0" w:rsidRDefault="001823EB" w:rsidP="001823EB">
      <w:pPr>
        <w:keepNext/>
        <w:pageBreakBefore/>
        <w:spacing w:after="120"/>
        <w:jc w:val="left"/>
        <w:rPr>
          <w:b/>
          <w:sz w:val="36"/>
        </w:rPr>
      </w:pPr>
      <w:r>
        <w:rPr>
          <w:b/>
          <w:sz w:val="36"/>
          <w:lang w:eastAsia="ja-JP"/>
        </w:rPr>
        <w:lastRenderedPageBreak/>
        <w:t>Data</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Data characteristics</w:t>
            </w:r>
          </w:p>
        </w:tc>
      </w:tr>
      <w:tr w:rsidR="0061703E"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4B8B399B"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Source</w:t>
            </w:r>
            <w:r>
              <w:rPr>
                <w:rStyle w:val="EndnoteReference"/>
                <w:rFonts w:ascii="Arial" w:eastAsia="ＭＳ Ｐゴシック"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372DBF68"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Type</w:t>
            </w:r>
            <w:r>
              <w:rPr>
                <w:rStyle w:val="EndnoteReference"/>
                <w:rFonts w:ascii="Arial" w:eastAsia="ＭＳ Ｐゴシック"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7114D949"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6E999BB9" w14:textId="47E0C3EC"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Velocity (e.g. real time)</w:t>
            </w:r>
            <w:r>
              <w:rPr>
                <w:rStyle w:val="EndnoteReference"/>
                <w:rFonts w:ascii="Arial" w:eastAsia="ＭＳ Ｐゴシック"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14C91F10"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Variety (multiple datasets)</w:t>
            </w:r>
            <w:r>
              <w:rPr>
                <w:rStyle w:val="EndnoteReference"/>
                <w:rFonts w:ascii="Arial" w:eastAsia="ＭＳ Ｐゴシック"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02B952A0"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61703E"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 xml:space="preserve">Variability </w:t>
            </w:r>
          </w:p>
          <w:p w14:paraId="2770A17B" w14:textId="5C6D249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(rate of change)</w:t>
            </w:r>
            <w:r>
              <w:rPr>
                <w:rStyle w:val="EndnoteReference"/>
                <w:rFonts w:ascii="Arial" w:eastAsia="ＭＳ Ｐゴシック"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1AA3853E"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Quality</w:t>
            </w:r>
            <w:r>
              <w:rPr>
                <w:rStyle w:val="EndnoteReference"/>
                <w:rFonts w:ascii="Arial" w:eastAsia="ＭＳ Ｐゴシック"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0E3B4916"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A84828">
        <w:tc>
          <w:tcPr>
            <w:tcW w:w="97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conditions</w:t>
            </w:r>
          </w:p>
        </w:tc>
      </w:tr>
      <w:tr w:rsidR="004609FE" w:rsidRPr="004609FE" w14:paraId="278E7E3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No.</w:t>
            </w:r>
          </w:p>
        </w:tc>
        <w:tc>
          <w:tcPr>
            <w:tcW w:w="9775"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name</w:t>
            </w:r>
          </w:p>
        </w:tc>
        <w:tc>
          <w:tcPr>
            <w:tcW w:w="9775"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description</w:t>
            </w:r>
          </w:p>
        </w:tc>
        <w:tc>
          <w:tcPr>
            <w:tcW w:w="9775"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Triggering event</w:t>
            </w:r>
          </w:p>
        </w:tc>
        <w:tc>
          <w:tcPr>
            <w:tcW w:w="9775"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Pre-condition</w:t>
            </w:r>
            <w:r w:rsidR="003C55FF">
              <w:rPr>
                <w:rStyle w:val="EndnoteReference"/>
                <w:rFonts w:ascii="Arial" w:eastAsia="ＭＳ Ｐゴシック" w:hAnsi="Arial" w:cs="Arial"/>
                <w:color w:val="000000"/>
                <w:lang w:val="en-US" w:eastAsia="ja-JP"/>
              </w:rPr>
              <w:endnoteReference w:id="17"/>
            </w:r>
          </w:p>
        </w:tc>
        <w:tc>
          <w:tcPr>
            <w:tcW w:w="9775"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Post-condition</w:t>
            </w:r>
            <w:r w:rsidR="00AC5160">
              <w:rPr>
                <w:rStyle w:val="EndnoteReference"/>
                <w:rFonts w:ascii="Arial" w:eastAsia="ＭＳ Ｐゴシック" w:hAnsi="Arial" w:cs="Arial"/>
                <w:color w:val="000000"/>
                <w:lang w:val="en-US" w:eastAsia="ja-JP"/>
              </w:rPr>
              <w:endnoteReference w:id="18"/>
            </w:r>
          </w:p>
        </w:tc>
      </w:tr>
      <w:tr w:rsidR="00B31544" w:rsidRPr="004609FE" w14:paraId="244B68E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208C4438" w14:textId="6579D74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021DC14" w14:textId="3A01788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E04CCE5" w14:textId="0D60148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9356108" w14:textId="32D0BFE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FD842DB" w14:textId="7B24189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68981F5" w14:textId="52D9732B"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4B9C1A92"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7C0411AC" w14:textId="7A7761BC"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326F6AF" w14:textId="1FAAE74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8D27383" w14:textId="52158C0E"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CA63D8F" w14:textId="419D7EC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094700B" w14:textId="0D4C4270"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799B0858" w14:textId="0E452294"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383E1AB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3EB41D98" w14:textId="6C76809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EE01FCC" w14:textId="30B35FF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73084D7" w14:textId="36E956C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3B64FAA2" w14:textId="2A5FC3D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EFDA1E" w14:textId="3F65404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8F6C65" w14:textId="50ED6C6C"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041DF12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41937E8D" w14:textId="567116F9"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26AB72C" w14:textId="544AD8EE"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301E58E" w14:textId="54F19E1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AD058DE" w14:textId="1E2A39A1"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05EE2627" w14:textId="66852D5D"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C3A500E" w14:textId="19302196"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649C870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230C9DE" w14:textId="355CD10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4BD322C" w14:textId="44CBA9F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93AAACE" w14:textId="54438FCA"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AB7A575" w14:textId="3EF0214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5366D3" w14:textId="1D39AC6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3F42A5F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35F4110A" w14:textId="6700177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F3E7D7A" w14:textId="0991376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B60B126" w14:textId="230737F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778D426" w14:textId="66FAFED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16F8B5F" w14:textId="461008A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4F02504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A951643" w14:textId="3FEF9E11"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4840372" w14:textId="668FC18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785170A" w14:textId="3400193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7D1A050" w14:textId="02D4C75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001A6A" w14:textId="37EF7B4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44F4C01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EC30638" w14:textId="011A44D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AD29731" w14:textId="67CE976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BFF0E97" w14:textId="7B9270C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DF7DE3" w14:textId="3BFE6AD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2ED4ECB" w14:textId="2A55E2C5"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19D6304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B9DE466" w14:textId="062884D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3500847" w14:textId="5B7DC4A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05A62DC" w14:textId="02ED7D75"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68F6E4E" w14:textId="6BF2959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2787A51E" w14:textId="5462BD5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0F693B3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3035872" w14:textId="2105CB3C"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264CF5B" w14:textId="7652828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73838A" w14:textId="56675F8C"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A8A28CB" w14:textId="56C94F4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14BAE44" w14:textId="03F44E3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Event</w:t>
            </w:r>
            <w:r w:rsidR="0095728F">
              <w:rPr>
                <w:rStyle w:val="EndnoteReference"/>
                <w:rFonts w:ascii="Arial" w:eastAsia="ＭＳ Ｐゴシック"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Name of process/Activity</w:t>
            </w:r>
            <w:r w:rsidR="000B209C">
              <w:rPr>
                <w:rStyle w:val="EndnoteReference"/>
                <w:rFonts w:ascii="Arial" w:eastAsia="ＭＳ Ｐゴシック"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2BF0CA3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4AB7477" w14:textId="65092C2E"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209FD7B8" w14:textId="6320311E"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2F236332" w14:textId="303457F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7BA13539" w14:textId="5A2DF59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5119B04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2DD823B" w14:textId="088AD4F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66D9F769" w14:textId="145B2AEF"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52F5649D" w14:textId="532382BB"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2B21C356" w14:textId="074091B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Specification of training data</w:t>
            </w:r>
            <w:r w:rsidR="00333C29">
              <w:rPr>
                <w:rStyle w:val="EndnoteReference"/>
                <w:rFonts w:ascii="Arial" w:eastAsia="ＭＳ Ｐゴシック"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5"/>
        <w:gridCol w:w="1527"/>
        <w:gridCol w:w="1882"/>
        <w:gridCol w:w="1532"/>
        <w:gridCol w:w="1702"/>
        <w:gridCol w:w="1592"/>
      </w:tblGrid>
      <w:tr w:rsidR="00AF7832" w:rsidRPr="00AF7832" w14:paraId="08D54294" w14:textId="77777777" w:rsidTr="001309C8">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1610"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Evaluation</w:t>
            </w:r>
          </w:p>
        </w:tc>
      </w:tr>
      <w:tr w:rsidR="00AF7832" w:rsidRPr="00AF7832" w14:paraId="3EDB73F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610"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sidR="005C74F2">
              <w:rPr>
                <w:rStyle w:val="EndnoteReference"/>
                <w:rFonts w:ascii="Arial" w:eastAsia="ＭＳ Ｐゴシック" w:hAnsi="Arial" w:cs="Arial"/>
                <w:color w:val="000000"/>
                <w:lang w:val="en-US" w:eastAsia="ja-JP"/>
              </w:rPr>
              <w:endnoteReference w:id="22"/>
            </w:r>
          </w:p>
        </w:tc>
        <w:tc>
          <w:tcPr>
            <w:tcW w:w="1610"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sidR="007F093B">
              <w:rPr>
                <w:rStyle w:val="EndnoteReference"/>
                <w:rFonts w:ascii="Arial" w:eastAsia="ＭＳ Ｐゴシック" w:hAnsi="Arial" w:cs="Arial"/>
                <w:color w:val="000000"/>
                <w:lang w:val="en-US" w:eastAsia="ja-JP"/>
              </w:rPr>
              <w:endnoteReference w:id="23"/>
            </w:r>
          </w:p>
        </w:tc>
        <w:tc>
          <w:tcPr>
            <w:tcW w:w="1610"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610"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610"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434FA" w:rsidRPr="00AF7832" w14:paraId="270460BB"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03FBDDCA" w14:textId="30514BB3"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0783DCF" w14:textId="7A808A9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E82D94" w14:textId="4ECF1C6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9295884" w14:textId="30ABEDD0"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23579F2" w14:textId="11C43ED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21EF2D7D"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DFFAE63" w14:textId="49C31479"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4D1FE9C" w14:textId="1069E6AC"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72156DB" w14:textId="11AC0C8B"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50DBB2B" w14:textId="783483A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AD22F86" w14:textId="42169A9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3FE5E459"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D80AF28" w14:textId="7AAF80FD"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CCC93FA" w14:textId="2D6E473B"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55E72A" w14:textId="63BEE54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D920E26" w14:textId="6B4F7EC3"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AF7832" w:rsidRPr="00AF7832" w14:paraId="5F201BE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8FC7F0A"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5D164CD0"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241657B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6CAC6AEF"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78E8397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4A71C90" w14:textId="77777777" w:rsidTr="001309C8">
        <w:tc>
          <w:tcPr>
            <w:tcW w:w="1610"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Input of evaluation</w:t>
            </w:r>
            <w:r w:rsidR="00452F60">
              <w:rPr>
                <w:rStyle w:val="EndnoteReference"/>
                <w:rFonts w:ascii="Arial" w:eastAsia="ＭＳ Ｐゴシック" w:hAnsi="Arial" w:cs="Arial"/>
                <w:color w:val="000000"/>
                <w:lang w:val="en-US" w:eastAsia="ja-JP"/>
              </w:rPr>
              <w:endnoteReference w:id="24"/>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476D7241"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Output of evaluation</w:t>
            </w:r>
            <w:r w:rsidR="00452F60">
              <w:rPr>
                <w:rStyle w:val="EndnoteReference"/>
                <w:rFonts w:ascii="Arial" w:eastAsia="ＭＳ Ｐゴシック" w:hAnsi="Arial" w:cs="Arial"/>
                <w:color w:val="000000"/>
                <w:lang w:val="en-US" w:eastAsia="ja-JP"/>
              </w:rPr>
              <w:endnoteReference w:id="25"/>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EndnoteReference"/>
                <w:rFonts w:ascii="Arial" w:eastAsia="ＭＳ Ｐゴシック"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EndnoteReference"/>
                <w:rFonts w:ascii="Arial" w:eastAsia="ＭＳ Ｐゴシック"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Input of </w:t>
            </w:r>
            <w:r w:rsidRPr="00281F11">
              <w:rPr>
                <w:rFonts w:ascii="Arial" w:eastAsia="ＭＳ Ｐゴシック" w:hAnsi="Arial" w:cs="Arial"/>
                <w:color w:val="000000"/>
                <w:lang w:val="en-US" w:eastAsia="ja-JP"/>
              </w:rPr>
              <w:t>Execution</w:t>
            </w:r>
            <w:r>
              <w:rPr>
                <w:rStyle w:val="EndnoteReference"/>
                <w:rFonts w:ascii="Arial" w:eastAsia="ＭＳ Ｐゴシック"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Output of </w:t>
            </w:r>
            <w:r w:rsidRPr="00281F11">
              <w:rPr>
                <w:rFonts w:ascii="Arial" w:eastAsia="ＭＳ Ｐゴシック" w:hAnsi="Arial" w:cs="Arial"/>
                <w:color w:val="000000"/>
                <w:lang w:val="en-US" w:eastAsia="ja-JP"/>
              </w:rPr>
              <w:t>Execution</w:t>
            </w:r>
            <w:r>
              <w:rPr>
                <w:rStyle w:val="EndnoteReference"/>
                <w:rFonts w:ascii="Arial" w:eastAsia="ＭＳ Ｐゴシック"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EndnoteReference"/>
                <w:rFonts w:ascii="Arial" w:eastAsia="ＭＳ Ｐゴシック"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EndnoteReference"/>
                <w:rFonts w:ascii="Arial" w:eastAsia="ＭＳ Ｐゴシック"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Specification of retraining data</w:t>
            </w:r>
            <w:r w:rsidR="009724F4">
              <w:rPr>
                <w:rStyle w:val="EndnoteReference"/>
                <w:rFonts w:ascii="Arial" w:eastAsia="ＭＳ Ｐゴシック"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7FAE7D0C" w:rsidR="00C52B10" w:rsidRPr="00D97C17" w:rsidRDefault="00C52B10" w:rsidP="00C52B10">
            <w:pPr>
              <w:tabs>
                <w:tab w:val="clear" w:pos="403"/>
              </w:tabs>
              <w:spacing w:after="0" w:line="240" w:lineRule="auto"/>
              <w:jc w:val="left"/>
              <w:rPr>
                <w:rFonts w:ascii="Arial" w:hAnsi="Arial" w:cs="Arial"/>
                <w:color w:val="000000"/>
                <w:lang w:val="en-US"/>
              </w:rPr>
            </w:pP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Link</w:t>
            </w:r>
          </w:p>
        </w:tc>
      </w:tr>
      <w:tr w:rsidR="00EA5133" w:rsidRPr="000B268A"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48CDAE1E"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1</w:t>
            </w:r>
          </w:p>
        </w:tc>
        <w:tc>
          <w:tcPr>
            <w:tcW w:w="879" w:type="dxa"/>
            <w:tcBorders>
              <w:top w:val="nil"/>
              <w:left w:val="nil"/>
              <w:bottom w:val="single" w:sz="4" w:space="0" w:color="auto"/>
              <w:right w:val="single" w:sz="4" w:space="0" w:color="auto"/>
            </w:tcBorders>
            <w:shd w:val="clear" w:color="auto" w:fill="auto"/>
            <w:vAlign w:val="center"/>
          </w:tcPr>
          <w:p w14:paraId="45DE14C6" w14:textId="04F1BC33"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Press Release</w:t>
            </w:r>
          </w:p>
        </w:tc>
        <w:tc>
          <w:tcPr>
            <w:tcW w:w="1214" w:type="dxa"/>
            <w:tcBorders>
              <w:top w:val="nil"/>
              <w:left w:val="nil"/>
              <w:bottom w:val="single" w:sz="4" w:space="0" w:color="auto"/>
              <w:right w:val="single" w:sz="4" w:space="0" w:color="auto"/>
            </w:tcBorders>
            <w:shd w:val="clear" w:color="auto" w:fill="auto"/>
            <w:vAlign w:val="center"/>
          </w:tcPr>
          <w:p w14:paraId="73CFBC6E" w14:textId="71CE54A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037CB343" w14:textId="72CE5CE3"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61F5C903" w14:textId="09573D1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2D2D505B" w14:textId="2E2480D4"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3E708BD9" w14:textId="7361EE66"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hyperlink r:id="rId8" w:history="1">
              <w:r>
                <w:rPr>
                  <w:rStyle w:val="Hyperlink"/>
                </w:rPr>
                <w:t>http://www.fujitsu.com/global/about/resources/news/press-releases/2017/0828-01.html</w:t>
              </w:r>
            </w:hyperlink>
          </w:p>
        </w:tc>
      </w:tr>
      <w:tr w:rsidR="00EA5133" w:rsidRPr="000B268A"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159D9A94"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2</w:t>
            </w:r>
          </w:p>
        </w:tc>
        <w:tc>
          <w:tcPr>
            <w:tcW w:w="879" w:type="dxa"/>
            <w:tcBorders>
              <w:top w:val="nil"/>
              <w:left w:val="nil"/>
              <w:bottom w:val="single" w:sz="4" w:space="0" w:color="auto"/>
              <w:right w:val="single" w:sz="4" w:space="0" w:color="auto"/>
            </w:tcBorders>
            <w:shd w:val="clear" w:color="auto" w:fill="auto"/>
            <w:vAlign w:val="center"/>
          </w:tcPr>
          <w:p w14:paraId="37D94954" w14:textId="5E551BB8"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Press Release</w:t>
            </w:r>
          </w:p>
        </w:tc>
        <w:tc>
          <w:tcPr>
            <w:tcW w:w="1214" w:type="dxa"/>
            <w:tcBorders>
              <w:top w:val="nil"/>
              <w:left w:val="nil"/>
              <w:bottom w:val="single" w:sz="4" w:space="0" w:color="auto"/>
              <w:right w:val="single" w:sz="4" w:space="0" w:color="auto"/>
            </w:tcBorders>
            <w:shd w:val="clear" w:color="auto" w:fill="auto"/>
            <w:vAlign w:val="center"/>
          </w:tcPr>
          <w:p w14:paraId="25DEF92E" w14:textId="37B8924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760A0F22" w14:textId="5014597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7AF378BE" w14:textId="17F93FE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696C18B7" w14:textId="544FD648"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72FD22E2" w14:textId="5C753FD9" w:rsidR="00EA5133" w:rsidRPr="000B268A" w:rsidRDefault="002906AE" w:rsidP="002906AE">
            <w:pPr>
              <w:tabs>
                <w:tab w:val="clear" w:pos="403"/>
                <w:tab w:val="left" w:pos="720"/>
              </w:tabs>
              <w:spacing w:after="0" w:line="240" w:lineRule="auto"/>
              <w:jc w:val="left"/>
              <w:rPr>
                <w:rFonts w:ascii="Arial" w:eastAsia="ＭＳ Ｐゴシック" w:hAnsi="Arial" w:cs="Arial"/>
                <w:color w:val="000000"/>
                <w:lang w:val="en-US" w:eastAsia="ja-JP"/>
              </w:rPr>
            </w:pPr>
            <w:hyperlink r:id="rId9" w:history="1">
              <w:r>
                <w:rPr>
                  <w:rStyle w:val="Hyperlink"/>
                  <w:rFonts w:ascii="Arial" w:eastAsia="ＭＳ Ｐゴシック" w:hAnsi="Arial" w:cs="Arial"/>
                  <w:lang w:val="en-US"/>
                </w:rPr>
                <w:t>http://www.fujitsu.com/global/about/resources/news/press-releases/2016/0216-01.html</w:t>
              </w:r>
            </w:hyperlink>
          </w:p>
        </w:tc>
      </w:tr>
      <w:tr w:rsidR="00EA5133" w:rsidRPr="000B268A"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5A3FE5E6"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3</w:t>
            </w:r>
          </w:p>
        </w:tc>
        <w:tc>
          <w:tcPr>
            <w:tcW w:w="879" w:type="dxa"/>
            <w:tcBorders>
              <w:top w:val="nil"/>
              <w:left w:val="nil"/>
              <w:bottom w:val="single" w:sz="4" w:space="0" w:color="auto"/>
              <w:right w:val="single" w:sz="4" w:space="0" w:color="auto"/>
            </w:tcBorders>
            <w:shd w:val="clear" w:color="auto" w:fill="auto"/>
            <w:vAlign w:val="center"/>
          </w:tcPr>
          <w:p w14:paraId="7AE2E5F7" w14:textId="346C5547"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Technical Paper</w:t>
            </w:r>
          </w:p>
        </w:tc>
        <w:tc>
          <w:tcPr>
            <w:tcW w:w="1214" w:type="dxa"/>
            <w:tcBorders>
              <w:top w:val="nil"/>
              <w:left w:val="nil"/>
              <w:bottom w:val="single" w:sz="4" w:space="0" w:color="auto"/>
              <w:right w:val="single" w:sz="4" w:space="0" w:color="auto"/>
            </w:tcBorders>
            <w:shd w:val="clear" w:color="auto" w:fill="auto"/>
            <w:vAlign w:val="center"/>
          </w:tcPr>
          <w:p w14:paraId="6D9D2D70" w14:textId="43D40AAB"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r>
              <w:rPr>
                <w:rFonts w:ascii="Arial" w:hAnsi="Arial" w:cs="Arial"/>
              </w:rPr>
              <w:t>Time Series Classification via Topological Data Analysis</w:t>
            </w:r>
          </w:p>
        </w:tc>
        <w:tc>
          <w:tcPr>
            <w:tcW w:w="1243" w:type="dxa"/>
            <w:tcBorders>
              <w:top w:val="nil"/>
              <w:left w:val="nil"/>
              <w:bottom w:val="single" w:sz="4" w:space="0" w:color="auto"/>
              <w:right w:val="single" w:sz="4" w:space="0" w:color="auto"/>
            </w:tcBorders>
            <w:shd w:val="clear" w:color="auto" w:fill="auto"/>
            <w:vAlign w:val="center"/>
          </w:tcPr>
          <w:p w14:paraId="41E51381" w14:textId="156CE376"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0C2A1269" w14:textId="1216F2CA"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4510F1C1" w14:textId="24AE8479"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Transactions of the Japanese Society for Artificial Intelligence</w:t>
            </w:r>
          </w:p>
        </w:tc>
        <w:tc>
          <w:tcPr>
            <w:tcW w:w="1959" w:type="dxa"/>
            <w:tcBorders>
              <w:top w:val="nil"/>
              <w:left w:val="nil"/>
              <w:bottom w:val="single" w:sz="4" w:space="0" w:color="auto"/>
              <w:right w:val="single" w:sz="4" w:space="0" w:color="auto"/>
            </w:tcBorders>
            <w:shd w:val="clear" w:color="auto" w:fill="auto"/>
            <w:vAlign w:val="center"/>
          </w:tcPr>
          <w:p w14:paraId="36174804" w14:textId="19A9C42B" w:rsidR="00EA5133" w:rsidRPr="000B268A" w:rsidRDefault="002906AE" w:rsidP="00EA5133">
            <w:pPr>
              <w:tabs>
                <w:tab w:val="clear" w:pos="403"/>
              </w:tabs>
              <w:spacing w:after="0" w:line="240" w:lineRule="auto"/>
              <w:jc w:val="left"/>
              <w:rPr>
                <w:rFonts w:ascii="Arial" w:eastAsia="ＭＳ Ｐゴシック" w:hAnsi="Arial" w:cs="Arial"/>
                <w:color w:val="000000"/>
                <w:lang w:val="en-US" w:eastAsia="ja-JP"/>
              </w:rPr>
            </w:pPr>
            <w:hyperlink r:id="rId10" w:history="1">
              <w:r>
                <w:rPr>
                  <w:rStyle w:val="Hyperlink"/>
                </w:rPr>
                <w:t>https://www.jstage.jst.go.jp/article/tjsai/32/3/32_D-G72/_article</w:t>
              </w:r>
            </w:hyperlink>
          </w:p>
        </w:tc>
      </w:tr>
      <w:tr w:rsidR="000B268A" w:rsidRPr="000B268A"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606382FE"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r w:rsidR="002906AE">
              <w:rPr>
                <w:rFonts w:ascii="Arial" w:eastAsia="ＭＳ Ｐゴシック" w:hAnsi="Arial" w:cs="Arial" w:hint="eastAsia"/>
                <w:color w:val="000000"/>
                <w:lang w:val="en-US" w:eastAsia="ja-JP"/>
              </w:rPr>
              <w:t>4</w:t>
            </w:r>
            <w:bookmarkStart w:id="0" w:name="_GoBack"/>
            <w:bookmarkEnd w:id="0"/>
          </w:p>
        </w:tc>
        <w:tc>
          <w:tcPr>
            <w:tcW w:w="879" w:type="dxa"/>
            <w:tcBorders>
              <w:top w:val="nil"/>
              <w:left w:val="nil"/>
              <w:bottom w:val="single" w:sz="4" w:space="0" w:color="auto"/>
              <w:right w:val="single" w:sz="4" w:space="0" w:color="auto"/>
            </w:tcBorders>
            <w:shd w:val="clear" w:color="auto" w:fill="auto"/>
            <w:vAlign w:val="center"/>
            <w:hideMark/>
          </w:tcPr>
          <w:p w14:paraId="0B06BCC4" w14:textId="03D843B2"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r w:rsidR="002906AE">
              <w:rPr>
                <w:rFonts w:ascii="Arial" w:eastAsia="ＭＳ Ｐゴシック" w:hAnsi="Arial" w:cs="Arial"/>
                <w:color w:val="000000"/>
                <w:lang w:val="en-US" w:eastAsia="ja-JP"/>
              </w:rPr>
              <w:t>Technical Paper</w:t>
            </w:r>
          </w:p>
        </w:tc>
        <w:tc>
          <w:tcPr>
            <w:tcW w:w="1214" w:type="dxa"/>
            <w:tcBorders>
              <w:top w:val="nil"/>
              <w:left w:val="nil"/>
              <w:bottom w:val="single" w:sz="4" w:space="0" w:color="auto"/>
              <w:right w:val="single" w:sz="4" w:space="0" w:color="auto"/>
            </w:tcBorders>
            <w:shd w:val="clear" w:color="auto" w:fill="auto"/>
            <w:vAlign w:val="center"/>
            <w:hideMark/>
          </w:tcPr>
          <w:p w14:paraId="1C846008" w14:textId="742C0FE4"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r w:rsidR="002906AE">
              <w:rPr>
                <w:rFonts w:ascii="Arial" w:hAnsi="Arial" w:cs="Arial"/>
              </w:rPr>
              <w:t>Topological Data Analysis</w:t>
            </w:r>
            <w:r w:rsidR="002906AE">
              <w:rPr>
                <w:rFonts w:ascii="Arial" w:hAnsi="Arial" w:cs="Arial"/>
                <w:lang w:eastAsia="ja-JP"/>
              </w:rPr>
              <w:t xml:space="preserve"> and its Application to Chronological Data Analysis</w:t>
            </w:r>
          </w:p>
        </w:tc>
        <w:tc>
          <w:tcPr>
            <w:tcW w:w="1243" w:type="dxa"/>
            <w:tcBorders>
              <w:top w:val="nil"/>
              <w:left w:val="nil"/>
              <w:bottom w:val="single" w:sz="4" w:space="0" w:color="auto"/>
              <w:right w:val="single" w:sz="4" w:space="0" w:color="auto"/>
            </w:tcBorders>
            <w:shd w:val="clear" w:color="auto" w:fill="auto"/>
            <w:vAlign w:val="center"/>
            <w:hideMark/>
          </w:tcPr>
          <w:p w14:paraId="1D64C88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5AD9DFE3"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r w:rsidR="002906AE">
              <w:rPr>
                <w:rFonts w:ascii="Arial" w:eastAsia="ＭＳ Ｐゴシック" w:hAnsi="Arial" w:cs="Arial"/>
                <w:color w:val="000000"/>
                <w:lang w:val="en-US" w:eastAsia="ja-JP"/>
              </w:rPr>
              <w:t>FUJITSU Journal (in Japanese)</w:t>
            </w:r>
          </w:p>
        </w:tc>
        <w:tc>
          <w:tcPr>
            <w:tcW w:w="1959" w:type="dxa"/>
            <w:tcBorders>
              <w:top w:val="nil"/>
              <w:left w:val="nil"/>
              <w:bottom w:val="single" w:sz="4" w:space="0" w:color="auto"/>
              <w:right w:val="single" w:sz="4" w:space="0" w:color="auto"/>
            </w:tcBorders>
            <w:shd w:val="clear" w:color="auto" w:fill="auto"/>
            <w:vAlign w:val="center"/>
            <w:hideMark/>
          </w:tcPr>
          <w:p w14:paraId="24333B43" w14:textId="77777777" w:rsidR="002906AE" w:rsidRDefault="002906AE" w:rsidP="002906AE">
            <w:pPr>
              <w:tabs>
                <w:tab w:val="clear" w:pos="403"/>
                <w:tab w:val="left" w:pos="720"/>
              </w:tabs>
              <w:spacing w:after="0" w:line="240" w:lineRule="auto"/>
              <w:jc w:val="left"/>
              <w:rPr>
                <w:rFonts w:ascii="Arial" w:eastAsia="ＭＳ Ｐゴシック" w:hAnsi="Arial" w:cs="Arial"/>
                <w:color w:val="000000"/>
                <w:lang w:val="en-US" w:eastAsia="ja-JP"/>
              </w:rPr>
            </w:pPr>
            <w:hyperlink r:id="rId11" w:history="1">
              <w:r>
                <w:rPr>
                  <w:rStyle w:val="Hyperlink"/>
                  <w:rFonts w:ascii="Arial" w:eastAsia="ＭＳ Ｐゴシック" w:hAnsi="Arial" w:cs="Arial"/>
                  <w:lang w:val="en-US"/>
                </w:rPr>
                <w:t>http://www.fujitsu.com/jp/documents/about/resources/publications/magazine/backnumber/vol69-4/paper15.pdf</w:t>
              </w:r>
            </w:hyperlink>
          </w:p>
          <w:p w14:paraId="1E8CC16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bl>
    <w:p w14:paraId="186AF3D5" w14:textId="6A2AA009" w:rsidR="00333A6F" w:rsidRPr="008D5B02" w:rsidRDefault="00333A6F" w:rsidP="001A33D0">
      <w:pPr>
        <w:rPr>
          <w:color w:val="BFBFBF" w:themeColor="background1" w:themeShade="BF"/>
          <w:lang w:val="en-US" w:eastAsia="ja-JP"/>
        </w:rPr>
      </w:pPr>
      <w:r w:rsidRPr="008D5B02">
        <w:rPr>
          <w:color w:val="BFBFBF" w:themeColor="background1" w:themeShade="BF"/>
          <w:lang w:val="en-US" w:eastAsia="ja-JP"/>
        </w:rPr>
        <w:t>(Examples of other citation that cannot be described in the table</w:t>
      </w:r>
      <w:r w:rsidR="00A5508F" w:rsidRPr="008D5B02">
        <w:rPr>
          <w:color w:val="BFBFBF" w:themeColor="background1" w:themeShade="BF"/>
          <w:lang w:val="en-US" w:eastAsia="ja-JP"/>
        </w:rPr>
        <w:t xml:space="preserve"> format</w:t>
      </w:r>
      <w:r w:rsidRPr="008D5B02">
        <w:rPr>
          <w:color w:val="BFBFBF" w:themeColor="background1" w:themeShade="BF"/>
          <w:lang w:val="en-US" w:eastAsia="ja-JP"/>
        </w:rPr>
        <w:t>)</w:t>
      </w:r>
    </w:p>
    <w:p w14:paraId="6784ECB8" w14:textId="00750022" w:rsidR="00BF7DAF" w:rsidRPr="008D5B02" w:rsidRDefault="00A5508F" w:rsidP="001A33D0">
      <w:pPr>
        <w:rPr>
          <w:color w:val="BFBFBF" w:themeColor="background1" w:themeShade="BF"/>
          <w:lang w:val="en-US" w:eastAsia="ja-JP"/>
        </w:rPr>
      </w:pPr>
      <w:r w:rsidRPr="008D5B02">
        <w:rPr>
          <w:color w:val="BFBFBF" w:themeColor="background1" w:themeShade="BF"/>
          <w:lang w:val="en-US" w:eastAsia="ja-JP"/>
        </w:rPr>
        <w:t>[1</w:t>
      </w:r>
      <w:r w:rsidR="00BF7DAF" w:rsidRPr="008D5B02">
        <w:rPr>
          <w:color w:val="BFBFBF" w:themeColor="background1" w:themeShade="BF"/>
          <w:lang w:val="en-US" w:eastAsia="ja-JP"/>
        </w:rPr>
        <w:t xml:space="preserve">] </w:t>
      </w:r>
      <w:proofErr w:type="spellStart"/>
      <w:r w:rsidRPr="008D5B02">
        <w:rPr>
          <w:color w:val="BFBFBF" w:themeColor="background1" w:themeShade="BF"/>
          <w:lang w:val="en-US" w:eastAsia="ja-JP"/>
        </w:rPr>
        <w:t>Lominandze</w:t>
      </w:r>
      <w:proofErr w:type="spellEnd"/>
      <w:r w:rsidRPr="008D5B02">
        <w:rPr>
          <w:color w:val="BFBFBF" w:themeColor="background1" w:themeShade="BF"/>
          <w:lang w:val="en-US" w:eastAsia="ja-JP"/>
        </w:rPr>
        <w:t xml:space="preserve">, DG. </w:t>
      </w:r>
      <w:r w:rsidRPr="008D5B02">
        <w:rPr>
          <w:i/>
          <w:color w:val="BFBFBF" w:themeColor="background1" w:themeShade="BF"/>
          <w:lang w:val="en-US" w:eastAsia="ja-JP"/>
        </w:rPr>
        <w:t>Cyclotron waves in plasma</w:t>
      </w:r>
      <w:r w:rsidRPr="008D5B02">
        <w:rPr>
          <w:color w:val="BFBFBF" w:themeColor="background1" w:themeShade="BF"/>
          <w:lang w:val="en-US" w:eastAsia="ja-JP"/>
        </w:rPr>
        <w:t xml:space="preserve">. Translated by AN. </w:t>
      </w:r>
      <w:proofErr w:type="spellStart"/>
      <w:r w:rsidRPr="008D5B02">
        <w:rPr>
          <w:color w:val="BFBFBF" w:themeColor="background1" w:themeShade="BF"/>
          <w:lang w:val="en-US" w:eastAsia="ja-JP"/>
        </w:rPr>
        <w:t>Dellis</w:t>
      </w:r>
      <w:proofErr w:type="spellEnd"/>
      <w:r w:rsidRPr="008D5B02">
        <w:rPr>
          <w:color w:val="BFBFBF" w:themeColor="background1" w:themeShade="BF"/>
          <w:lang w:val="en-US" w:eastAsia="ja-JP"/>
        </w:rPr>
        <w:t xml:space="preserve">; edited by SM. </w:t>
      </w:r>
      <w:proofErr w:type="spellStart"/>
      <w:r w:rsidRPr="008D5B02">
        <w:rPr>
          <w:color w:val="BFBFBF" w:themeColor="background1" w:themeShade="BF"/>
          <w:lang w:val="en-US" w:eastAsia="ja-JP"/>
        </w:rPr>
        <w:t>Hamberger</w:t>
      </w:r>
      <w:proofErr w:type="spellEnd"/>
      <w:r w:rsidRPr="008D5B02">
        <w:rPr>
          <w:color w:val="BFBFBF" w:themeColor="background1" w:themeShade="BF"/>
          <w:lang w:val="en-US" w:eastAsia="ja-JP"/>
        </w:rPr>
        <w:t xml:space="preserve">. 1st ed. </w:t>
      </w:r>
      <w:proofErr w:type="gramStart"/>
      <w:r w:rsidRPr="008D5B02">
        <w:rPr>
          <w:color w:val="BFBFBF" w:themeColor="background1" w:themeShade="BF"/>
          <w:lang w:val="en-US" w:eastAsia="ja-JP"/>
        </w:rPr>
        <w:t>Oxford :</w:t>
      </w:r>
      <w:proofErr w:type="gramEnd"/>
      <w:r w:rsidRPr="008D5B02">
        <w:rPr>
          <w:color w:val="BFBFBF" w:themeColor="background1" w:themeShade="BF"/>
          <w:lang w:val="en-US" w:eastAsia="ja-JP"/>
        </w:rPr>
        <w:t xml:space="preserve"> </w:t>
      </w:r>
      <w:proofErr w:type="spellStart"/>
      <w:r w:rsidRPr="008D5B02">
        <w:rPr>
          <w:color w:val="BFBFBF" w:themeColor="background1" w:themeShade="BF"/>
          <w:lang w:val="en-US" w:eastAsia="ja-JP"/>
        </w:rPr>
        <w:t>Pergamon</w:t>
      </w:r>
      <w:proofErr w:type="spellEnd"/>
      <w:r w:rsidRPr="008D5B02">
        <w:rPr>
          <w:color w:val="BFBFBF" w:themeColor="background1" w:themeShade="BF"/>
          <w:lang w:val="en-US" w:eastAsia="ja-JP"/>
        </w:rPr>
        <w:t xml:space="preserve"> Press, 1981. 206 p. International series in natural philosophy. Translation of: </w:t>
      </w:r>
      <w:proofErr w:type="spellStart"/>
      <w:r w:rsidRPr="008D5B02">
        <w:rPr>
          <w:color w:val="BFBFBF" w:themeColor="background1" w:themeShade="BF"/>
          <w:lang w:val="en-US" w:eastAsia="ja-JP"/>
        </w:rPr>
        <w:t>Ciklotronnye</w:t>
      </w:r>
      <w:proofErr w:type="spellEnd"/>
      <w:r w:rsidRPr="008D5B02">
        <w:rPr>
          <w:color w:val="BFBFBF" w:themeColor="background1" w:themeShade="BF"/>
          <w:lang w:val="en-US" w:eastAsia="ja-JP"/>
        </w:rPr>
        <w:t xml:space="preserve"> </w:t>
      </w:r>
      <w:proofErr w:type="spellStart"/>
      <w:r w:rsidRPr="008D5B02">
        <w:rPr>
          <w:color w:val="BFBFBF" w:themeColor="background1" w:themeShade="BF"/>
          <w:lang w:val="en-US" w:eastAsia="ja-JP"/>
        </w:rPr>
        <w:t>volny</w:t>
      </w:r>
      <w:proofErr w:type="spellEnd"/>
      <w:r w:rsidRPr="008D5B02">
        <w:rPr>
          <w:color w:val="BFBFBF" w:themeColor="background1" w:themeShade="BF"/>
          <w:lang w:val="en-US" w:eastAsia="ja-JP"/>
        </w:rPr>
        <w:t xml:space="preserve"> v </w:t>
      </w:r>
      <w:proofErr w:type="spellStart"/>
      <w:r w:rsidRPr="008D5B02">
        <w:rPr>
          <w:color w:val="BFBFBF" w:themeColor="background1" w:themeShade="BF"/>
          <w:lang w:val="en-US" w:eastAsia="ja-JP"/>
        </w:rPr>
        <w:t>plazme</w:t>
      </w:r>
      <w:proofErr w:type="spellEnd"/>
      <w:r w:rsidRPr="008D5B02">
        <w:rPr>
          <w:color w:val="BFBFBF" w:themeColor="background1" w:themeShade="BF"/>
          <w:lang w:val="en-US" w:eastAsia="ja-JP"/>
        </w:rPr>
        <w:t>. ISBN 0-08-021680-3.</w:t>
      </w:r>
    </w:p>
    <w:p w14:paraId="0A222E3E" w14:textId="0F83DB6D"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lastRenderedPageBreak/>
        <w:t xml:space="preserve">[2]Parker, TJ. </w:t>
      </w:r>
      <w:proofErr w:type="gramStart"/>
      <w:r w:rsidRPr="008D5B02">
        <w:rPr>
          <w:color w:val="BFBFBF" w:themeColor="background1" w:themeShade="BF"/>
          <w:lang w:val="en-US" w:eastAsia="ja-JP"/>
        </w:rPr>
        <w:t>and</w:t>
      </w:r>
      <w:proofErr w:type="gramEnd"/>
      <w:r w:rsidRPr="008D5B02">
        <w:rPr>
          <w:color w:val="BFBFBF" w:themeColor="background1" w:themeShade="BF"/>
          <w:lang w:val="en-US" w:eastAsia="ja-JP"/>
        </w:rPr>
        <w:t xml:space="preserve"> Haswell, WD. </w:t>
      </w:r>
      <w:r w:rsidRPr="008D5B02">
        <w:rPr>
          <w:i/>
          <w:color w:val="BFBFBF" w:themeColor="background1" w:themeShade="BF"/>
          <w:lang w:val="en-US" w:eastAsia="ja-JP"/>
        </w:rPr>
        <w:t>A Text-book of zoology</w:t>
      </w:r>
      <w:r w:rsidRPr="008D5B02">
        <w:rPr>
          <w:color w:val="BFBFBF" w:themeColor="background1" w:themeShade="BF"/>
          <w:lang w:val="en-US" w:eastAsia="ja-JP"/>
        </w:rPr>
        <w:t xml:space="preserve">. 5th ed., </w:t>
      </w:r>
      <w:proofErr w:type="spellStart"/>
      <w:r w:rsidRPr="008D5B02">
        <w:rPr>
          <w:color w:val="BFBFBF" w:themeColor="background1" w:themeShade="BF"/>
          <w:lang w:val="en-US" w:eastAsia="ja-JP"/>
        </w:rPr>
        <w:t>vol</w:t>
      </w:r>
      <w:proofErr w:type="spellEnd"/>
      <w:r w:rsidRPr="008D5B02">
        <w:rPr>
          <w:color w:val="BFBFBF" w:themeColor="background1" w:themeShade="BF"/>
          <w:lang w:val="en-US" w:eastAsia="ja-JP"/>
        </w:rPr>
        <w:t xml:space="preserve"> 1. </w:t>
      </w:r>
      <w:proofErr w:type="gramStart"/>
      <w:r w:rsidRPr="008D5B02">
        <w:rPr>
          <w:color w:val="BFBFBF" w:themeColor="background1" w:themeShade="BF"/>
          <w:lang w:val="en-US" w:eastAsia="ja-JP"/>
        </w:rPr>
        <w:t>revised</w:t>
      </w:r>
      <w:proofErr w:type="gramEnd"/>
      <w:r w:rsidRPr="008D5B02">
        <w:rPr>
          <w:color w:val="BFBFBF" w:themeColor="background1" w:themeShade="BF"/>
          <w:lang w:val="en-US" w:eastAsia="ja-JP"/>
        </w:rPr>
        <w:t xml:space="preserve"> by WD. Lang. London : Macmillan 1930. Section 12, </w:t>
      </w:r>
      <w:proofErr w:type="spellStart"/>
      <w:r w:rsidRPr="008D5B02">
        <w:rPr>
          <w:color w:val="BFBFBF" w:themeColor="background1" w:themeShade="BF"/>
          <w:lang w:val="en-US" w:eastAsia="ja-JP"/>
        </w:rPr>
        <w:t>Phyllum</w:t>
      </w:r>
      <w:proofErr w:type="spellEnd"/>
      <w:r w:rsidRPr="008D5B02">
        <w:rPr>
          <w:color w:val="BFBFBF" w:themeColor="background1" w:themeShade="BF"/>
          <w:lang w:val="en-US" w:eastAsia="ja-JP"/>
        </w:rPr>
        <w:t xml:space="preserve"> Mollusca, pp. 663-782.</w:t>
      </w:r>
    </w:p>
    <w:p w14:paraId="430B7BAB" w14:textId="56A68265"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[3]</w:t>
      </w:r>
      <w:proofErr w:type="spellStart"/>
      <w:r w:rsidRPr="008D5B02">
        <w:rPr>
          <w:color w:val="BFBFBF" w:themeColor="background1" w:themeShade="BF"/>
          <w:lang w:val="en-US" w:eastAsia="ja-JP"/>
        </w:rPr>
        <w:t>Wringley</w:t>
      </w:r>
      <w:proofErr w:type="spellEnd"/>
      <w:r w:rsidRPr="008D5B02">
        <w:rPr>
          <w:color w:val="BFBFBF" w:themeColor="background1" w:themeShade="BF"/>
          <w:lang w:val="en-US" w:eastAsia="ja-JP"/>
        </w:rPr>
        <w:t xml:space="preserve">, EA. Parish registers and the historian. In Steel, DJ. </w:t>
      </w:r>
      <w:r w:rsidRPr="008D5B02">
        <w:rPr>
          <w:i/>
          <w:color w:val="BFBFBF" w:themeColor="background1" w:themeShade="BF"/>
          <w:lang w:val="en-US" w:eastAsia="ja-JP"/>
        </w:rPr>
        <w:t>National index of parish registers</w:t>
      </w:r>
      <w:r w:rsidRPr="008D5B02">
        <w:rPr>
          <w:color w:val="BFBFBF" w:themeColor="background1" w:themeShade="BF"/>
          <w:lang w:val="en-US" w:eastAsia="ja-JP"/>
        </w:rPr>
        <w:t xml:space="preserve">. </w:t>
      </w:r>
      <w:proofErr w:type="gramStart"/>
      <w:r w:rsidRPr="008D5B02">
        <w:rPr>
          <w:color w:val="BFBFBF" w:themeColor="background1" w:themeShade="BF"/>
          <w:lang w:val="en-US" w:eastAsia="ja-JP"/>
        </w:rPr>
        <w:t>London :</w:t>
      </w:r>
      <w:proofErr w:type="gramEnd"/>
      <w:r w:rsidRPr="008D5B02">
        <w:rPr>
          <w:color w:val="BFBFBF" w:themeColor="background1" w:themeShade="BF"/>
          <w:lang w:val="en-US" w:eastAsia="ja-JP"/>
        </w:rPr>
        <w:t xml:space="preserve"> Society of Genealogists, 1968, vol. 1, pp. 155-167.</w:t>
      </w:r>
    </w:p>
    <w:p w14:paraId="4D3A04F3" w14:textId="69401980"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 xml:space="preserve">[4]Communication equipment manufacturers. Manufacturing a Primary Industries Division, Statistics Canada. Preliminary Edition, 1970- . </w:t>
      </w:r>
      <w:proofErr w:type="gramStart"/>
      <w:r w:rsidRPr="008D5B02">
        <w:rPr>
          <w:color w:val="BFBFBF" w:themeColor="background1" w:themeShade="BF"/>
          <w:lang w:val="en-US" w:eastAsia="ja-JP"/>
        </w:rPr>
        <w:t>Ottawa :</w:t>
      </w:r>
      <w:proofErr w:type="gramEnd"/>
      <w:r w:rsidRPr="008D5B02">
        <w:rPr>
          <w:color w:val="BFBFBF" w:themeColor="background1" w:themeShade="BF"/>
          <w:lang w:val="en-US" w:eastAsia="ja-JP"/>
        </w:rPr>
        <w:t xml:space="preserve"> Statistics Canada, 1971- . Annual census of manufacturers. (</w:t>
      </w:r>
      <w:proofErr w:type="gramStart"/>
      <w:r w:rsidRPr="008D5B02">
        <w:rPr>
          <w:color w:val="BFBFBF" w:themeColor="background1" w:themeShade="BF"/>
          <w:lang w:val="en-US" w:eastAsia="ja-JP"/>
        </w:rPr>
        <w:t>in</w:t>
      </w:r>
      <w:proofErr w:type="gramEnd"/>
      <w:r w:rsidRPr="008D5B02">
        <w:rPr>
          <w:color w:val="BFBFBF" w:themeColor="background1" w:themeShade="BF"/>
          <w:lang w:val="en-US" w:eastAsia="ja-JP"/>
        </w:rPr>
        <w:t xml:space="preserve"> English), (in French). ISSN 0700-0758.</w:t>
      </w:r>
    </w:p>
    <w:p w14:paraId="6FB1C6A4" w14:textId="35E26539"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[5] Weaver, William. The Collectors: command performances. Photography by Robert Emmet Bright. Architectural Digest, December 1985, vol. 42, no. 12, pp. 126-133.</w:t>
      </w:r>
    </w:p>
    <w:p w14:paraId="50889780" w14:textId="5597DD62" w:rsidR="00174615" w:rsidRPr="004F648A" w:rsidRDefault="00E9261B" w:rsidP="00174615">
      <w:pPr>
        <w:keepNext/>
        <w:pageBreakBefore/>
        <w:spacing w:after="120"/>
        <w:jc w:val="left"/>
        <w:rPr>
          <w:b/>
          <w:sz w:val="36"/>
          <w:lang w:eastAsia="ja-JP"/>
        </w:rPr>
      </w:pPr>
      <w:r>
        <w:rPr>
          <w:b/>
          <w:sz w:val="36"/>
          <w:lang w:eastAsia="ja-JP"/>
        </w:rPr>
        <w:lastRenderedPageBreak/>
        <w:t>F</w:t>
      </w:r>
      <w:r w:rsidR="00174615">
        <w:rPr>
          <w:b/>
          <w:sz w:val="36"/>
          <w:lang w:eastAsia="ja-JP"/>
        </w:rPr>
        <w:t>oot</w:t>
      </w:r>
      <w:r>
        <w:rPr>
          <w:b/>
          <w:sz w:val="36"/>
          <w:lang w:eastAsia="ja-JP"/>
        </w:rPr>
        <w:t>note</w:t>
      </w:r>
    </w:p>
    <w:sectPr w:rsidR="00174615" w:rsidRPr="004F648A" w:rsidSect="004421EF">
      <w:footerReference w:type="even" r:id="rId12"/>
      <w:footerReference w:type="default" r:id="rId13"/>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1A6A" w14:textId="77777777" w:rsidR="0015363E" w:rsidRDefault="0015363E">
      <w:pPr>
        <w:spacing w:after="0" w:line="240" w:lineRule="auto"/>
      </w:pPr>
      <w:r>
        <w:separator/>
      </w:r>
    </w:p>
  </w:endnote>
  <w:endnote w:type="continuationSeparator" w:id="0">
    <w:p w14:paraId="5D69E46B" w14:textId="77777777" w:rsidR="0015363E" w:rsidRDefault="0015363E">
      <w:pPr>
        <w:spacing w:after="0" w:line="240" w:lineRule="auto"/>
      </w:pPr>
      <w:r>
        <w:continuationSeparator/>
      </w:r>
    </w:p>
  </w:endnote>
  <w:endnote w:id="1">
    <w:p w14:paraId="19A78E93" w14:textId="14CF3FD0" w:rsidR="002906AE" w:rsidRDefault="002906AE">
      <w:pPr>
        <w:pStyle w:val="EndnoteText"/>
        <w:rPr>
          <w:lang w:eastAsia="ja-JP"/>
        </w:rPr>
      </w:pPr>
      <w:r>
        <w:rPr>
          <w:rStyle w:val="EndnoteReference"/>
        </w:rPr>
        <w:endnoteRef/>
      </w:r>
      <w:r>
        <w:t xml:space="preserve"> </w:t>
      </w:r>
      <w:r w:rsidRPr="00F257C4">
        <w:t>Leave this cell blank.</w:t>
      </w:r>
    </w:p>
  </w:endnote>
  <w:endnote w:id="2">
    <w:p w14:paraId="59ECE672" w14:textId="1C69C1E6" w:rsidR="002906AE" w:rsidRDefault="002906AE">
      <w:pPr>
        <w:pStyle w:val="EndnoteText"/>
        <w:rPr>
          <w:lang w:eastAsia="ja-JP"/>
        </w:rPr>
      </w:pPr>
      <w:r>
        <w:rPr>
          <w:rStyle w:val="EndnoteReference"/>
        </w:rPr>
        <w:endnoteRef/>
      </w:r>
      <w:r>
        <w:t xml:space="preserve"> </w:t>
      </w:r>
      <w:r w:rsidRPr="00E14DE4">
        <w:t>The scope defines the limits of the use case.</w:t>
      </w:r>
    </w:p>
  </w:endnote>
  <w:endnote w:id="3">
    <w:p w14:paraId="139A47AB" w14:textId="55F56746" w:rsidR="002906AE" w:rsidRPr="00DB1483" w:rsidRDefault="002906AE" w:rsidP="00F721F0">
      <w:pPr>
        <w:pStyle w:val="EndnoteText"/>
        <w:tabs>
          <w:tab w:val="clear" w:pos="403"/>
        </w:tabs>
      </w:pPr>
      <w:r>
        <w:rPr>
          <w:rStyle w:val="EndnoteReference"/>
        </w:rPr>
        <w:endnoteRef/>
      </w:r>
      <w:r>
        <w:t xml:space="preserve"> Stakeholder involved in the scenario - examples are: type of organization; customers, 3rd parties; end users; humans; environment; negative stakeholders (attackers, criminals, </w:t>
      </w:r>
      <w:proofErr w:type="spellStart"/>
      <w:r>
        <w:t>etc</w:t>
      </w:r>
      <w:proofErr w:type="spellEnd"/>
      <w:r>
        <w:t>).</w:t>
      </w:r>
    </w:p>
  </w:endnote>
  <w:endnote w:id="4">
    <w:p w14:paraId="061DCE20" w14:textId="5D54AFA6" w:rsidR="002906AE" w:rsidRPr="00DB1483" w:rsidRDefault="002906AE">
      <w:pPr>
        <w:pStyle w:val="EndnoteText"/>
        <w:rPr>
          <w:lang w:eastAsia="ja-JP"/>
        </w:rPr>
      </w:pPr>
      <w:r>
        <w:rPr>
          <w:rStyle w:val="EndnoteReference"/>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2906AE" w:rsidRPr="00F721F0" w:rsidRDefault="002906AE">
      <w:pPr>
        <w:pStyle w:val="EndnoteText"/>
        <w:rPr>
          <w:lang w:eastAsia="ja-JP"/>
        </w:rPr>
      </w:pPr>
      <w:r>
        <w:rPr>
          <w:rStyle w:val="EndnoteReference"/>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2906AE" w:rsidRDefault="002906AE">
      <w:pPr>
        <w:pStyle w:val="EndnoteText"/>
        <w:rPr>
          <w:lang w:eastAsia="ja-JP"/>
        </w:rPr>
      </w:pPr>
      <w:r>
        <w:rPr>
          <w:rStyle w:val="EndnoteReference"/>
        </w:rPr>
        <w:endnoteRef/>
      </w:r>
      <w:r>
        <w:t xml:space="preserve"> </w:t>
      </w:r>
      <w:r w:rsidRPr="00A43A22">
        <w:t>AI method(s)/framework(s) used</w:t>
      </w:r>
      <w:r>
        <w:rPr>
          <w:rFonts w:hint="eastAsia"/>
          <w:lang w:eastAsia="ja-JP"/>
        </w:rPr>
        <w:t>.</w:t>
      </w:r>
    </w:p>
  </w:endnote>
  <w:endnote w:id="7">
    <w:p w14:paraId="28AAB2F0" w14:textId="677D085D" w:rsidR="002906AE" w:rsidRDefault="002906AE">
      <w:pPr>
        <w:pStyle w:val="EndnoteText"/>
        <w:rPr>
          <w:lang w:eastAsia="ja-JP"/>
        </w:rPr>
      </w:pPr>
      <w:r>
        <w:rPr>
          <w:rStyle w:val="EndnoteReference"/>
        </w:rPr>
        <w:endnoteRef/>
      </w:r>
      <w:r>
        <w:t xml:space="preserve"> </w:t>
      </w:r>
      <w:r w:rsidRPr="00C84E27">
        <w:t>Hardware system used</w:t>
      </w:r>
      <w:r>
        <w:t>.</w:t>
      </w:r>
    </w:p>
  </w:endnote>
  <w:endnote w:id="8">
    <w:p w14:paraId="7919137B" w14:textId="545F9466" w:rsidR="002906AE" w:rsidRPr="00D00660" w:rsidRDefault="002906AE">
      <w:pPr>
        <w:pStyle w:val="EndnoteText"/>
        <w:rPr>
          <w:lang w:eastAsia="ja-JP"/>
        </w:rPr>
      </w:pPr>
      <w:r>
        <w:rPr>
          <w:rStyle w:val="EndnoteReference"/>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2906AE" w:rsidRDefault="002906AE">
      <w:pPr>
        <w:pStyle w:val="EndnoteText"/>
        <w:rPr>
          <w:lang w:eastAsia="ja-JP"/>
        </w:rPr>
      </w:pPr>
      <w:r>
        <w:rPr>
          <w:rStyle w:val="EndnoteReference"/>
        </w:rPr>
        <w:endnoteRef/>
      </w:r>
      <w:r>
        <w:t xml:space="preserve"> </w:t>
      </w:r>
      <w:r w:rsidRPr="008004BE">
        <w:t>Terms and concepts listed here can be used to extend the work of WG 1 (AWI 22989 and AWI 23053) as necessary.</w:t>
      </w:r>
    </w:p>
  </w:endnote>
  <w:endnote w:id="10">
    <w:p w14:paraId="2FF199D9" w14:textId="174C1E69" w:rsidR="002906AE" w:rsidRDefault="002906AE" w:rsidP="00053723">
      <w:pPr>
        <w:pStyle w:val="EndnoteText"/>
        <w:spacing w:after="0"/>
        <w:rPr>
          <w:lang w:eastAsia="ja-JP"/>
        </w:rPr>
      </w:pPr>
      <w:r>
        <w:rPr>
          <w:rStyle w:val="EndnoteReference"/>
        </w:rPr>
        <w:endnoteRef/>
      </w:r>
      <w:r>
        <w:t xml:space="preserve"> </w:t>
      </w:r>
      <w:r w:rsidRPr="004034F8">
        <w:rPr>
          <w:lang w:eastAsia="ja-JP"/>
        </w:rPr>
        <w:t xml:space="preserve">The Sustainable Development Goals (SDGs), otherwise known as the Global Goals, </w:t>
      </w:r>
      <w:r w:rsidRPr="00F81DB5">
        <w:t>are a collection of 17 global goals set by the U</w:t>
      </w:r>
      <w:r>
        <w:t>nited Nations General Assembly.</w:t>
      </w:r>
      <w:r>
        <w:rPr>
          <w:rFonts w:hint="eastAsia"/>
          <w:lang w:eastAsia="ja-JP"/>
        </w:rPr>
        <w:t xml:space="preserve"> </w:t>
      </w:r>
      <w:r w:rsidRPr="00F81DB5">
        <w:t>SDGs</w:t>
      </w:r>
      <w:r w:rsidRPr="004034F8">
        <w:rPr>
          <w:lang w:eastAsia="ja-JP"/>
        </w:rPr>
        <w:t xml:space="preserve"> are a universal call to action to end poverty, protect the planet and ensure that all pe</w:t>
      </w:r>
      <w:r>
        <w:rPr>
          <w:lang w:eastAsia="ja-JP"/>
        </w:rPr>
        <w:t>ople enjoy peace and prosperity.</w:t>
      </w:r>
      <w:r w:rsidRPr="00F81DB5">
        <w:t xml:space="preserve"> </w:t>
      </w:r>
    </w:p>
    <w:p w14:paraId="4B7B37C1" w14:textId="65C61F66" w:rsidR="002906AE" w:rsidRPr="002D24D3" w:rsidRDefault="002906AE">
      <w:pPr>
        <w:pStyle w:val="EndnoteText"/>
        <w:rPr>
          <w:lang w:eastAsia="ja-JP"/>
        </w:rPr>
      </w:pPr>
      <w:r>
        <w:rPr>
          <w:lang w:eastAsia="ja-JP"/>
        </w:rPr>
        <w:t xml:space="preserve">See URL for more details: </w:t>
      </w:r>
      <w:hyperlink r:id="rId1" w:history="1">
        <w:r w:rsidRPr="00E933D6">
          <w:rPr>
            <w:rStyle w:val="Hyperlink"/>
            <w:lang w:val="en-GB" w:eastAsia="ja-JP"/>
          </w:rPr>
          <w:t>http://www.undp.org/content/undp/en/home/sustainable-development-goals.html</w:t>
        </w:r>
      </w:hyperlink>
    </w:p>
  </w:endnote>
  <w:endnote w:id="11">
    <w:p w14:paraId="00772C47" w14:textId="3C90772D" w:rsidR="002906AE" w:rsidRDefault="002906AE">
      <w:pPr>
        <w:pStyle w:val="EndnoteText"/>
        <w:rPr>
          <w:lang w:eastAsia="ja-JP"/>
        </w:rPr>
      </w:pPr>
      <w:r>
        <w:rPr>
          <w:rStyle w:val="EndnoteReference"/>
        </w:rPr>
        <w:endnoteRef/>
      </w:r>
      <w:r>
        <w:t xml:space="preserve"> </w:t>
      </w:r>
      <w:r w:rsidRPr="00546171">
        <w:t xml:space="preserve">Origin of data, which could be from instruments, </w:t>
      </w:r>
      <w:proofErr w:type="spellStart"/>
      <w:r w:rsidRPr="00546171">
        <w:t>IoT</w:t>
      </w:r>
      <w:proofErr w:type="spellEnd"/>
      <w:r w:rsidRPr="00546171">
        <w:t>, web, surveys, commercial activity, or from simulations.</w:t>
      </w:r>
    </w:p>
  </w:endnote>
  <w:endnote w:id="12">
    <w:p w14:paraId="6C54DF97" w14:textId="6461816E" w:rsidR="002906AE" w:rsidRDefault="002906AE" w:rsidP="00322DFB">
      <w:pPr>
        <w:pStyle w:val="EndnoteText"/>
        <w:rPr>
          <w:lang w:eastAsia="ja-JP"/>
        </w:rPr>
      </w:pPr>
      <w:r>
        <w:rPr>
          <w:rStyle w:val="EndnoteReference"/>
        </w:rPr>
        <w:endnoteRef/>
      </w:r>
      <w:r>
        <w:t xml:space="preserve"> Structured/unstructured Images, voices, text, gene sequences, and numerical. Composite: time-series, graph-structured</w:t>
      </w:r>
    </w:p>
  </w:endnote>
  <w:endnote w:id="13">
    <w:p w14:paraId="1FFAFEEE" w14:textId="595B6405" w:rsidR="002906AE" w:rsidRDefault="002906AE">
      <w:pPr>
        <w:pStyle w:val="EndnoteText"/>
        <w:rPr>
          <w:lang w:eastAsia="ja-JP"/>
        </w:rPr>
      </w:pPr>
      <w:r>
        <w:rPr>
          <w:rStyle w:val="EndnoteReference"/>
        </w:rPr>
        <w:endnoteRef/>
      </w:r>
      <w:r>
        <w:t xml:space="preserve"> </w:t>
      </w:r>
      <w:r w:rsidRPr="00D04320">
        <w:t>The rate of flow at which the data is created, stored, analysed, or visualized.</w:t>
      </w:r>
    </w:p>
  </w:endnote>
  <w:endnote w:id="14">
    <w:p w14:paraId="3B728ECF" w14:textId="0FECE70E" w:rsidR="002906AE" w:rsidRDefault="002906AE" w:rsidP="000E7EF6">
      <w:pPr>
        <w:pStyle w:val="EndnoteText"/>
        <w:rPr>
          <w:lang w:eastAsia="ja-JP"/>
        </w:rPr>
      </w:pPr>
      <w:r>
        <w:rPr>
          <w:rStyle w:val="EndnoteReference"/>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2906AE" w:rsidRDefault="002906AE">
      <w:pPr>
        <w:pStyle w:val="EndnoteText"/>
        <w:rPr>
          <w:lang w:eastAsia="ja-JP"/>
        </w:rPr>
      </w:pPr>
      <w:r>
        <w:rPr>
          <w:rStyle w:val="EndnoteReference"/>
        </w:rPr>
        <w:endnoteRef/>
      </w:r>
      <w:r>
        <w:t xml:space="preserve"> </w:t>
      </w:r>
      <w:r w:rsidRPr="00241DA7">
        <w:t>Changes in data rate, format/structure, semantics, and/or quality.</w:t>
      </w:r>
    </w:p>
  </w:endnote>
  <w:endnote w:id="16">
    <w:p w14:paraId="2D90F6F4" w14:textId="10866472" w:rsidR="002906AE" w:rsidRDefault="002906AE">
      <w:pPr>
        <w:pStyle w:val="EndnoteText"/>
        <w:rPr>
          <w:lang w:eastAsia="ja-JP"/>
        </w:rPr>
      </w:pPr>
      <w:r>
        <w:rPr>
          <w:rStyle w:val="EndnoteReference"/>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2906AE" w:rsidRDefault="002906AE">
      <w:pPr>
        <w:pStyle w:val="EndnoteText"/>
        <w:rPr>
          <w:lang w:eastAsia="ja-JP"/>
        </w:rPr>
      </w:pPr>
      <w:r>
        <w:rPr>
          <w:rStyle w:val="EndnoteReference"/>
        </w:rPr>
        <w:endnoteRef/>
      </w:r>
      <w:r>
        <w:t xml:space="preserve"> </w:t>
      </w:r>
      <w:r w:rsidRPr="003C55FF">
        <w:t>Describe which condition(s) should have been met before this scenario happens.</w:t>
      </w:r>
    </w:p>
  </w:endnote>
  <w:endnote w:id="18">
    <w:p w14:paraId="2D8C37A1" w14:textId="52E72A8A" w:rsidR="002906AE" w:rsidRDefault="002906AE">
      <w:pPr>
        <w:pStyle w:val="EndnoteText"/>
        <w:rPr>
          <w:lang w:eastAsia="ja-JP"/>
        </w:rPr>
      </w:pPr>
      <w:r>
        <w:rPr>
          <w:rStyle w:val="EndnoteReference"/>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2906AE" w:rsidRDefault="002906AE" w:rsidP="0095728F">
      <w:pPr>
        <w:pStyle w:val="EndnoteText"/>
        <w:rPr>
          <w:lang w:eastAsia="ja-JP"/>
        </w:rPr>
      </w:pPr>
      <w:r>
        <w:rPr>
          <w:rStyle w:val="EndnoteReference"/>
        </w:rPr>
        <w:endnoteRef/>
      </w:r>
      <w:r>
        <w:t xml:space="preserve"> The event that triggers the step. This might be completion of the previous event.</w:t>
      </w:r>
    </w:p>
  </w:endnote>
  <w:endnote w:id="20">
    <w:p w14:paraId="41D53852" w14:textId="6EA18931" w:rsidR="002906AE" w:rsidRDefault="002906AE">
      <w:pPr>
        <w:pStyle w:val="EndnoteText"/>
        <w:rPr>
          <w:lang w:eastAsia="ja-JP"/>
        </w:rPr>
      </w:pPr>
      <w:r>
        <w:rPr>
          <w:rStyle w:val="EndnoteReference"/>
        </w:rPr>
        <w:endnoteRef/>
      </w:r>
      <w:r>
        <w:t xml:space="preserve"> </w:t>
      </w:r>
      <w:r w:rsidRPr="000B209C">
        <w:t>Action verbs should be used when naming activity.</w:t>
      </w:r>
    </w:p>
  </w:endnote>
  <w:endnote w:id="21">
    <w:p w14:paraId="4C2DAFB2" w14:textId="0E41F517" w:rsidR="002906AE" w:rsidRPr="00333C29" w:rsidRDefault="002906AE">
      <w:pPr>
        <w:pStyle w:val="EndnoteText"/>
        <w:rPr>
          <w:lang w:eastAsia="ja-JP"/>
        </w:rPr>
      </w:pPr>
      <w:r>
        <w:rPr>
          <w:rStyle w:val="EndnoteReference"/>
        </w:rPr>
        <w:endnoteRef/>
      </w:r>
      <w:r>
        <w:t xml:space="preserve"> </w:t>
      </w:r>
      <w:r w:rsidRPr="00333C29">
        <w:t>Training data can be further specified.</w:t>
      </w:r>
    </w:p>
  </w:endnote>
  <w:endnote w:id="22">
    <w:p w14:paraId="7996A4E3" w14:textId="4093FED2" w:rsidR="002906AE" w:rsidRDefault="002906AE" w:rsidP="005C74F2">
      <w:pPr>
        <w:pStyle w:val="EndnoteText"/>
        <w:rPr>
          <w:lang w:eastAsia="ja-JP"/>
        </w:rPr>
      </w:pPr>
      <w:r>
        <w:rPr>
          <w:rStyle w:val="EndnoteReference"/>
        </w:rPr>
        <w:endnoteRef/>
      </w:r>
      <w:r>
        <w:t xml:space="preserve"> The event that triggers the step. This might be completion of the previous event.</w:t>
      </w:r>
    </w:p>
  </w:endnote>
  <w:endnote w:id="23">
    <w:p w14:paraId="2B9FCA3F" w14:textId="4D17AD6C" w:rsidR="002906AE" w:rsidRDefault="002906AE">
      <w:pPr>
        <w:pStyle w:val="EndnoteText"/>
        <w:rPr>
          <w:lang w:eastAsia="ja-JP"/>
        </w:rPr>
      </w:pPr>
      <w:r>
        <w:rPr>
          <w:rStyle w:val="EndnoteReference"/>
        </w:rPr>
        <w:endnoteRef/>
      </w:r>
      <w:r>
        <w:t xml:space="preserve"> </w:t>
      </w:r>
      <w:r w:rsidRPr="007F093B">
        <w:t>Action verbs should be used when naming activity.</w:t>
      </w:r>
    </w:p>
  </w:endnote>
  <w:endnote w:id="24">
    <w:p w14:paraId="036F5529" w14:textId="68811061" w:rsidR="002906AE" w:rsidRPr="00452F60" w:rsidRDefault="002906AE">
      <w:pPr>
        <w:pStyle w:val="EndnoteText"/>
        <w:rPr>
          <w:lang w:eastAsia="ja-JP"/>
        </w:rPr>
      </w:pPr>
      <w:r>
        <w:rPr>
          <w:rStyle w:val="EndnoteReference"/>
        </w:rPr>
        <w:endnoteRef/>
      </w:r>
      <w:r>
        <w:t xml:space="preserve"> Specify in</w:t>
      </w:r>
      <w:r w:rsidRPr="00452F60">
        <w:t>put of evaluation.</w:t>
      </w:r>
    </w:p>
  </w:endnote>
  <w:endnote w:id="25">
    <w:p w14:paraId="133BF11C" w14:textId="715E89CA" w:rsidR="002906AE" w:rsidRPr="00452F60" w:rsidRDefault="002906AE">
      <w:pPr>
        <w:pStyle w:val="EndnoteText"/>
        <w:rPr>
          <w:lang w:eastAsia="ja-JP"/>
        </w:rPr>
      </w:pPr>
      <w:r>
        <w:rPr>
          <w:rStyle w:val="EndnoteReference"/>
        </w:rPr>
        <w:endnoteRef/>
      </w:r>
      <w:r>
        <w:t xml:space="preserve"> </w:t>
      </w:r>
      <w:r w:rsidRPr="00452F60">
        <w:t>Specify output of evaluation.</w:t>
      </w:r>
    </w:p>
  </w:endnote>
  <w:endnote w:id="26">
    <w:p w14:paraId="412EDC75" w14:textId="77777777" w:rsidR="002906AE" w:rsidRDefault="002906AE" w:rsidP="004020D3">
      <w:pPr>
        <w:pStyle w:val="EndnoteText"/>
        <w:rPr>
          <w:lang w:eastAsia="ja-JP"/>
        </w:rPr>
      </w:pPr>
      <w:r>
        <w:rPr>
          <w:rStyle w:val="EndnoteReference"/>
        </w:rPr>
        <w:endnoteRef/>
      </w:r>
      <w:r>
        <w:t xml:space="preserve"> The event that triggers the step. This might be completion of the previous event.</w:t>
      </w:r>
    </w:p>
  </w:endnote>
  <w:endnote w:id="27">
    <w:p w14:paraId="3DCC5B3B" w14:textId="77777777" w:rsidR="002906AE" w:rsidRDefault="002906AE" w:rsidP="004020D3">
      <w:pPr>
        <w:pStyle w:val="EndnoteText"/>
        <w:rPr>
          <w:lang w:eastAsia="ja-JP"/>
        </w:rPr>
      </w:pPr>
      <w:r>
        <w:rPr>
          <w:rStyle w:val="EndnoteReference"/>
        </w:rPr>
        <w:endnoteRef/>
      </w:r>
      <w:r>
        <w:t xml:space="preserve"> </w:t>
      </w:r>
      <w:r w:rsidRPr="007F093B">
        <w:t>Action verbs should be used when naming activity.</w:t>
      </w:r>
    </w:p>
  </w:endnote>
  <w:endnote w:id="28">
    <w:p w14:paraId="7251B635" w14:textId="77777777" w:rsidR="002906AE" w:rsidRPr="00452F60" w:rsidRDefault="002906AE">
      <w:pPr>
        <w:pStyle w:val="EndnoteText"/>
        <w:rPr>
          <w:lang w:eastAsia="ja-JP"/>
        </w:rPr>
      </w:pPr>
      <w:r>
        <w:rPr>
          <w:rStyle w:val="EndnoteReference"/>
        </w:rPr>
        <w:endnoteRef/>
      </w:r>
      <w:r>
        <w:t xml:space="preserve"> Specify in</w:t>
      </w:r>
      <w:r w:rsidRPr="00452F60">
        <w:t>put of evaluation.</w:t>
      </w:r>
    </w:p>
  </w:endnote>
  <w:endnote w:id="29">
    <w:p w14:paraId="30DAE510" w14:textId="77777777" w:rsidR="002906AE" w:rsidRPr="00452F60" w:rsidRDefault="002906AE">
      <w:pPr>
        <w:pStyle w:val="EndnoteText"/>
        <w:rPr>
          <w:lang w:eastAsia="ja-JP"/>
        </w:rPr>
      </w:pPr>
      <w:r>
        <w:rPr>
          <w:rStyle w:val="EndnoteReference"/>
        </w:rPr>
        <w:endnoteRef/>
      </w:r>
      <w:r>
        <w:t xml:space="preserve"> </w:t>
      </w:r>
      <w:r w:rsidRPr="00452F60">
        <w:t>Specify output of evaluation.</w:t>
      </w:r>
    </w:p>
  </w:endnote>
  <w:endnote w:id="30">
    <w:p w14:paraId="15BB1373" w14:textId="77777777" w:rsidR="002906AE" w:rsidRDefault="002906AE" w:rsidP="004020D3">
      <w:pPr>
        <w:pStyle w:val="EndnoteText"/>
        <w:rPr>
          <w:lang w:eastAsia="ja-JP"/>
        </w:rPr>
      </w:pPr>
      <w:r>
        <w:rPr>
          <w:rStyle w:val="EndnoteReference"/>
        </w:rPr>
        <w:endnoteRef/>
      </w:r>
      <w:r>
        <w:t xml:space="preserve"> The event that triggers the step. This might be completion of the previous event.</w:t>
      </w:r>
    </w:p>
  </w:endnote>
  <w:endnote w:id="31">
    <w:p w14:paraId="112D57CC" w14:textId="77777777" w:rsidR="002906AE" w:rsidRDefault="002906AE" w:rsidP="004020D3">
      <w:pPr>
        <w:pStyle w:val="EndnoteText"/>
        <w:rPr>
          <w:lang w:eastAsia="ja-JP"/>
        </w:rPr>
      </w:pPr>
      <w:r>
        <w:rPr>
          <w:rStyle w:val="EndnoteReference"/>
        </w:rPr>
        <w:endnoteRef/>
      </w:r>
      <w:r>
        <w:t xml:space="preserve"> </w:t>
      </w:r>
      <w:r w:rsidRPr="007F093B">
        <w:t>Action verbs should be used when naming activity.</w:t>
      </w:r>
    </w:p>
  </w:endnote>
  <w:endnote w:id="32">
    <w:p w14:paraId="709E1804" w14:textId="09B88B42" w:rsidR="002906AE" w:rsidRDefault="002906AE">
      <w:pPr>
        <w:pStyle w:val="EndnoteText"/>
        <w:rPr>
          <w:lang w:eastAsia="ja-JP"/>
        </w:rPr>
      </w:pPr>
      <w:r>
        <w:rPr>
          <w:rStyle w:val="EndnoteReference"/>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8302" w14:textId="77777777" w:rsidR="002906AE" w:rsidRPr="00BA1CC8" w:rsidRDefault="002906AE" w:rsidP="004421EF">
    <w:pPr>
      <w:pStyle w:val="Footer"/>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9E072F">
      <w:rPr>
        <w:b/>
        <w:noProof/>
        <w:sz w:val="20"/>
      </w:rPr>
      <w:t>2</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3434" w14:textId="77777777" w:rsidR="002906AE" w:rsidRPr="00BA1CC8" w:rsidRDefault="002906AE" w:rsidP="00526284">
    <w:pPr>
      <w:pStyle w:val="Footer"/>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9E072F">
      <w:rPr>
        <w:b/>
        <w:noProof/>
        <w:sz w:val="20"/>
      </w:rPr>
      <w:t>1</w:t>
    </w:r>
    <w:r w:rsidRPr="006E50E0">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B61EC" w14:textId="77777777" w:rsidR="0015363E" w:rsidRDefault="0015363E">
      <w:pPr>
        <w:spacing w:after="0" w:line="240" w:lineRule="auto"/>
      </w:pPr>
      <w:r>
        <w:separator/>
      </w:r>
    </w:p>
  </w:footnote>
  <w:footnote w:type="continuationSeparator" w:id="0">
    <w:p w14:paraId="6923BBB9" w14:textId="77777777" w:rsidR="0015363E" w:rsidRDefault="00153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15:restartNumberingAfterBreak="0">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2"/>
    <w:rsid w:val="00001587"/>
    <w:rsid w:val="000022B4"/>
    <w:rsid w:val="000157F7"/>
    <w:rsid w:val="0004337E"/>
    <w:rsid w:val="000434FA"/>
    <w:rsid w:val="0004421F"/>
    <w:rsid w:val="00044F36"/>
    <w:rsid w:val="00047723"/>
    <w:rsid w:val="00052262"/>
    <w:rsid w:val="00053723"/>
    <w:rsid w:val="00055455"/>
    <w:rsid w:val="00060093"/>
    <w:rsid w:val="00065A0E"/>
    <w:rsid w:val="000672C6"/>
    <w:rsid w:val="00080459"/>
    <w:rsid w:val="00093685"/>
    <w:rsid w:val="000B209C"/>
    <w:rsid w:val="000B268A"/>
    <w:rsid w:val="000C033F"/>
    <w:rsid w:val="000C6662"/>
    <w:rsid w:val="000C68C2"/>
    <w:rsid w:val="000E763A"/>
    <w:rsid w:val="000E7EF6"/>
    <w:rsid w:val="000F1A30"/>
    <w:rsid w:val="001029A7"/>
    <w:rsid w:val="00104455"/>
    <w:rsid w:val="0010630E"/>
    <w:rsid w:val="00106B37"/>
    <w:rsid w:val="0012107A"/>
    <w:rsid w:val="00121D48"/>
    <w:rsid w:val="001309C8"/>
    <w:rsid w:val="0015363E"/>
    <w:rsid w:val="00155148"/>
    <w:rsid w:val="00174615"/>
    <w:rsid w:val="00174654"/>
    <w:rsid w:val="00177C86"/>
    <w:rsid w:val="00181C27"/>
    <w:rsid w:val="001823EB"/>
    <w:rsid w:val="001A0B0F"/>
    <w:rsid w:val="001A33D0"/>
    <w:rsid w:val="001A4023"/>
    <w:rsid w:val="001B51CD"/>
    <w:rsid w:val="001B53E2"/>
    <w:rsid w:val="001C0822"/>
    <w:rsid w:val="00200881"/>
    <w:rsid w:val="00201CE1"/>
    <w:rsid w:val="0021309E"/>
    <w:rsid w:val="00222803"/>
    <w:rsid w:val="00223F5E"/>
    <w:rsid w:val="002361C1"/>
    <w:rsid w:val="00241DA7"/>
    <w:rsid w:val="00244A96"/>
    <w:rsid w:val="00263465"/>
    <w:rsid w:val="00264095"/>
    <w:rsid w:val="00281F11"/>
    <w:rsid w:val="002906AE"/>
    <w:rsid w:val="00294761"/>
    <w:rsid w:val="00294FB0"/>
    <w:rsid w:val="002D24D3"/>
    <w:rsid w:val="002E0796"/>
    <w:rsid w:val="002E2D8A"/>
    <w:rsid w:val="002F07D4"/>
    <w:rsid w:val="002F385E"/>
    <w:rsid w:val="00314414"/>
    <w:rsid w:val="00322DFB"/>
    <w:rsid w:val="0033323D"/>
    <w:rsid w:val="00333718"/>
    <w:rsid w:val="00333A6F"/>
    <w:rsid w:val="00333C29"/>
    <w:rsid w:val="00346D16"/>
    <w:rsid w:val="00347C30"/>
    <w:rsid w:val="00375FC7"/>
    <w:rsid w:val="00387AFB"/>
    <w:rsid w:val="00395E39"/>
    <w:rsid w:val="003B70C0"/>
    <w:rsid w:val="003C4BF6"/>
    <w:rsid w:val="003C55FF"/>
    <w:rsid w:val="003D0AD7"/>
    <w:rsid w:val="003D3664"/>
    <w:rsid w:val="00400F60"/>
    <w:rsid w:val="004020D3"/>
    <w:rsid w:val="004034F8"/>
    <w:rsid w:val="00404DBD"/>
    <w:rsid w:val="00410481"/>
    <w:rsid w:val="0041500B"/>
    <w:rsid w:val="00420611"/>
    <w:rsid w:val="004211C9"/>
    <w:rsid w:val="0043287F"/>
    <w:rsid w:val="00435107"/>
    <w:rsid w:val="004421EF"/>
    <w:rsid w:val="00452F60"/>
    <w:rsid w:val="004609FE"/>
    <w:rsid w:val="004623B4"/>
    <w:rsid w:val="004721A1"/>
    <w:rsid w:val="00481387"/>
    <w:rsid w:val="00481633"/>
    <w:rsid w:val="00490CBC"/>
    <w:rsid w:val="00493AF5"/>
    <w:rsid w:val="004A78F4"/>
    <w:rsid w:val="004B57F3"/>
    <w:rsid w:val="004C241D"/>
    <w:rsid w:val="004D756C"/>
    <w:rsid w:val="004E6E8E"/>
    <w:rsid w:val="004E77F7"/>
    <w:rsid w:val="004F648A"/>
    <w:rsid w:val="0051332D"/>
    <w:rsid w:val="00514809"/>
    <w:rsid w:val="00517321"/>
    <w:rsid w:val="00526284"/>
    <w:rsid w:val="00535074"/>
    <w:rsid w:val="00541771"/>
    <w:rsid w:val="00545B89"/>
    <w:rsid w:val="00545E89"/>
    <w:rsid w:val="00546171"/>
    <w:rsid w:val="0054733A"/>
    <w:rsid w:val="005508E3"/>
    <w:rsid w:val="00550BA6"/>
    <w:rsid w:val="00551904"/>
    <w:rsid w:val="005564AC"/>
    <w:rsid w:val="005608D8"/>
    <w:rsid w:val="00562B13"/>
    <w:rsid w:val="005754C1"/>
    <w:rsid w:val="00592CC0"/>
    <w:rsid w:val="005938C6"/>
    <w:rsid w:val="005B3EC6"/>
    <w:rsid w:val="005B7DC0"/>
    <w:rsid w:val="005C6300"/>
    <w:rsid w:val="005C74F2"/>
    <w:rsid w:val="005D3F9A"/>
    <w:rsid w:val="005D6017"/>
    <w:rsid w:val="005E2D35"/>
    <w:rsid w:val="005F57B1"/>
    <w:rsid w:val="00610D56"/>
    <w:rsid w:val="00612C9F"/>
    <w:rsid w:val="0061703E"/>
    <w:rsid w:val="00622E13"/>
    <w:rsid w:val="006240B0"/>
    <w:rsid w:val="00634C20"/>
    <w:rsid w:val="00647C92"/>
    <w:rsid w:val="00673172"/>
    <w:rsid w:val="00674C63"/>
    <w:rsid w:val="0068101F"/>
    <w:rsid w:val="006963BF"/>
    <w:rsid w:val="006A2DE5"/>
    <w:rsid w:val="006B46D5"/>
    <w:rsid w:val="006C2EB2"/>
    <w:rsid w:val="006D0F88"/>
    <w:rsid w:val="006D3D76"/>
    <w:rsid w:val="006E37F3"/>
    <w:rsid w:val="00705637"/>
    <w:rsid w:val="00721241"/>
    <w:rsid w:val="00734B0C"/>
    <w:rsid w:val="007407EB"/>
    <w:rsid w:val="00744A9E"/>
    <w:rsid w:val="00751B0D"/>
    <w:rsid w:val="00754610"/>
    <w:rsid w:val="00756646"/>
    <w:rsid w:val="00762AED"/>
    <w:rsid w:val="00767DC1"/>
    <w:rsid w:val="00777A56"/>
    <w:rsid w:val="00777ED9"/>
    <w:rsid w:val="007812F0"/>
    <w:rsid w:val="007B785C"/>
    <w:rsid w:val="007C0471"/>
    <w:rsid w:val="007C6170"/>
    <w:rsid w:val="007D2557"/>
    <w:rsid w:val="007F093B"/>
    <w:rsid w:val="007F1796"/>
    <w:rsid w:val="007F4C7D"/>
    <w:rsid w:val="007F7F35"/>
    <w:rsid w:val="008004BE"/>
    <w:rsid w:val="008014CE"/>
    <w:rsid w:val="00803DA5"/>
    <w:rsid w:val="00807851"/>
    <w:rsid w:val="008110E0"/>
    <w:rsid w:val="00814A5F"/>
    <w:rsid w:val="00835156"/>
    <w:rsid w:val="0084785A"/>
    <w:rsid w:val="00854D9F"/>
    <w:rsid w:val="008713ED"/>
    <w:rsid w:val="0087166E"/>
    <w:rsid w:val="008814B2"/>
    <w:rsid w:val="00885E28"/>
    <w:rsid w:val="00897961"/>
    <w:rsid w:val="008C03EF"/>
    <w:rsid w:val="008C1E78"/>
    <w:rsid w:val="008C598D"/>
    <w:rsid w:val="008D16DB"/>
    <w:rsid w:val="008D3A16"/>
    <w:rsid w:val="008D5B02"/>
    <w:rsid w:val="008F20A4"/>
    <w:rsid w:val="008F3ECB"/>
    <w:rsid w:val="009219AA"/>
    <w:rsid w:val="009226E4"/>
    <w:rsid w:val="0093118F"/>
    <w:rsid w:val="009531CB"/>
    <w:rsid w:val="00955A40"/>
    <w:rsid w:val="0095728F"/>
    <w:rsid w:val="00957A4B"/>
    <w:rsid w:val="009647A8"/>
    <w:rsid w:val="00965E0E"/>
    <w:rsid w:val="009724F4"/>
    <w:rsid w:val="0097303B"/>
    <w:rsid w:val="00981134"/>
    <w:rsid w:val="00997AEA"/>
    <w:rsid w:val="009B0963"/>
    <w:rsid w:val="009B14D0"/>
    <w:rsid w:val="009C56F6"/>
    <w:rsid w:val="009E072F"/>
    <w:rsid w:val="00A10C28"/>
    <w:rsid w:val="00A13C55"/>
    <w:rsid w:val="00A22CF8"/>
    <w:rsid w:val="00A266EA"/>
    <w:rsid w:val="00A34F31"/>
    <w:rsid w:val="00A43A22"/>
    <w:rsid w:val="00A45AE0"/>
    <w:rsid w:val="00A47A1B"/>
    <w:rsid w:val="00A50D78"/>
    <w:rsid w:val="00A5508F"/>
    <w:rsid w:val="00A55B6A"/>
    <w:rsid w:val="00A752AD"/>
    <w:rsid w:val="00A84828"/>
    <w:rsid w:val="00AB5186"/>
    <w:rsid w:val="00AC1A33"/>
    <w:rsid w:val="00AC5160"/>
    <w:rsid w:val="00AE4BCF"/>
    <w:rsid w:val="00AE59AA"/>
    <w:rsid w:val="00AF7832"/>
    <w:rsid w:val="00AF7BAA"/>
    <w:rsid w:val="00B00197"/>
    <w:rsid w:val="00B14692"/>
    <w:rsid w:val="00B24728"/>
    <w:rsid w:val="00B31544"/>
    <w:rsid w:val="00B4133E"/>
    <w:rsid w:val="00B41FA6"/>
    <w:rsid w:val="00B4544F"/>
    <w:rsid w:val="00B45BBC"/>
    <w:rsid w:val="00B54248"/>
    <w:rsid w:val="00B5455F"/>
    <w:rsid w:val="00B63D77"/>
    <w:rsid w:val="00B75F64"/>
    <w:rsid w:val="00B77025"/>
    <w:rsid w:val="00B80F08"/>
    <w:rsid w:val="00B83404"/>
    <w:rsid w:val="00B9118A"/>
    <w:rsid w:val="00BA1F97"/>
    <w:rsid w:val="00BA6E9D"/>
    <w:rsid w:val="00BB3DDC"/>
    <w:rsid w:val="00BB5222"/>
    <w:rsid w:val="00BC10BC"/>
    <w:rsid w:val="00BC394B"/>
    <w:rsid w:val="00BF7921"/>
    <w:rsid w:val="00BF7DAF"/>
    <w:rsid w:val="00C07971"/>
    <w:rsid w:val="00C07B2B"/>
    <w:rsid w:val="00C109F2"/>
    <w:rsid w:val="00C33932"/>
    <w:rsid w:val="00C52B10"/>
    <w:rsid w:val="00C562AC"/>
    <w:rsid w:val="00C70324"/>
    <w:rsid w:val="00C77350"/>
    <w:rsid w:val="00C83357"/>
    <w:rsid w:val="00C84E27"/>
    <w:rsid w:val="00CA02DE"/>
    <w:rsid w:val="00CA2B67"/>
    <w:rsid w:val="00CC03B0"/>
    <w:rsid w:val="00CE2681"/>
    <w:rsid w:val="00CE3EA3"/>
    <w:rsid w:val="00CF0A4B"/>
    <w:rsid w:val="00CF366D"/>
    <w:rsid w:val="00CF5A70"/>
    <w:rsid w:val="00D00660"/>
    <w:rsid w:val="00D04320"/>
    <w:rsid w:val="00D0683C"/>
    <w:rsid w:val="00D23754"/>
    <w:rsid w:val="00D27F5D"/>
    <w:rsid w:val="00D33289"/>
    <w:rsid w:val="00D44253"/>
    <w:rsid w:val="00D44F7B"/>
    <w:rsid w:val="00D72B3A"/>
    <w:rsid w:val="00D75592"/>
    <w:rsid w:val="00D8357F"/>
    <w:rsid w:val="00D97C17"/>
    <w:rsid w:val="00DB1483"/>
    <w:rsid w:val="00DD1BA4"/>
    <w:rsid w:val="00DD77AD"/>
    <w:rsid w:val="00DD7EE0"/>
    <w:rsid w:val="00DE4393"/>
    <w:rsid w:val="00DE5433"/>
    <w:rsid w:val="00DF4B14"/>
    <w:rsid w:val="00E00C82"/>
    <w:rsid w:val="00E015D8"/>
    <w:rsid w:val="00E0364B"/>
    <w:rsid w:val="00E14DE4"/>
    <w:rsid w:val="00E45DE1"/>
    <w:rsid w:val="00E5283A"/>
    <w:rsid w:val="00E66E01"/>
    <w:rsid w:val="00E72FD2"/>
    <w:rsid w:val="00E745F4"/>
    <w:rsid w:val="00E90038"/>
    <w:rsid w:val="00E9261B"/>
    <w:rsid w:val="00E92F4D"/>
    <w:rsid w:val="00E933D6"/>
    <w:rsid w:val="00E976D1"/>
    <w:rsid w:val="00EA5133"/>
    <w:rsid w:val="00EA62E2"/>
    <w:rsid w:val="00EA6324"/>
    <w:rsid w:val="00EA7BD6"/>
    <w:rsid w:val="00EB10DB"/>
    <w:rsid w:val="00EB3E6C"/>
    <w:rsid w:val="00EB5FF5"/>
    <w:rsid w:val="00ED6553"/>
    <w:rsid w:val="00EF49F8"/>
    <w:rsid w:val="00F00DD4"/>
    <w:rsid w:val="00F036FC"/>
    <w:rsid w:val="00F257C4"/>
    <w:rsid w:val="00F31183"/>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C1FDA"/>
    <w:rsid w:val="00FD293C"/>
    <w:rsid w:val="00FD44FE"/>
    <w:rsid w:val="00FD5375"/>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3A"/>
    <w:pPr>
      <w:tabs>
        <w:tab w:val="left" w:pos="403"/>
      </w:tabs>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ＭＳ 明朝"/>
      <w:b/>
      <w:sz w:val="26"/>
      <w:lang w:eastAsia="ja-JP"/>
    </w:rPr>
  </w:style>
  <w:style w:type="paragraph" w:styleId="Heading2">
    <w:name w:val="heading 2"/>
    <w:basedOn w:val="Heading1"/>
    <w:next w:val="Normal"/>
    <w:link w:val="Heading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ＭＳ 明朝" w:hAnsi="Cambria"/>
      <w:b/>
      <w:sz w:val="26"/>
      <w:lang w:val="en-GB" w:eastAsia="ja-JP"/>
    </w:rPr>
  </w:style>
  <w:style w:type="character" w:customStyle="1" w:styleId="Heading2Char">
    <w:name w:val="Heading 2 Char"/>
    <w:link w:val="Heading2"/>
    <w:uiPriority w:val="2"/>
    <w:rsid w:val="001B51CD"/>
    <w:rPr>
      <w:rFonts w:ascii="Cambria" w:eastAsia="ＭＳ 明朝" w:hAnsi="Cambria"/>
      <w:b/>
      <w:sz w:val="24"/>
      <w:lang w:val="en-GB" w:eastAsia="ja-JP"/>
    </w:rPr>
  </w:style>
  <w:style w:type="character" w:customStyle="1" w:styleId="Heading3Char">
    <w:name w:val="Heading 3 Char"/>
    <w:link w:val="Heading3"/>
    <w:uiPriority w:val="3"/>
    <w:rsid w:val="001B51CD"/>
    <w:rPr>
      <w:rFonts w:ascii="Cambria" w:eastAsia="ＭＳ 明朝" w:hAnsi="Cambria"/>
      <w:b/>
      <w:sz w:val="22"/>
      <w:lang w:val="en-GB" w:eastAsia="ja-JP"/>
    </w:rPr>
  </w:style>
  <w:style w:type="character" w:customStyle="1" w:styleId="Heading4Char">
    <w:name w:val="Heading 4 Char"/>
    <w:link w:val="Heading4"/>
    <w:uiPriority w:val="4"/>
    <w:rsid w:val="00F828CA"/>
    <w:rPr>
      <w:rFonts w:ascii="Cambria" w:eastAsia="ＭＳ 明朝" w:hAnsi="Cambria"/>
      <w:b/>
      <w:sz w:val="22"/>
      <w:lang w:val="en-GB" w:eastAsia="ja-JP"/>
    </w:rPr>
  </w:style>
  <w:style w:type="character" w:customStyle="1" w:styleId="Heading5Char">
    <w:name w:val="Heading 5 Char"/>
    <w:link w:val="Heading5"/>
    <w:uiPriority w:val="5"/>
    <w:rsid w:val="001B51CD"/>
    <w:rPr>
      <w:rFonts w:ascii="Cambria" w:eastAsia="ＭＳ 明朝" w:hAnsi="Cambria"/>
      <w:b/>
      <w:sz w:val="22"/>
      <w:lang w:val="en-GB" w:eastAsia="ja-JP"/>
    </w:rPr>
  </w:style>
  <w:style w:type="character" w:customStyle="1" w:styleId="Heading6Char">
    <w:name w:val="Heading 6 Char"/>
    <w:link w:val="Heading6"/>
    <w:uiPriority w:val="6"/>
    <w:rsid w:val="001B51CD"/>
    <w:rPr>
      <w:rFonts w:ascii="Cambria" w:eastAsia="ＭＳ 明朝" w:hAnsi="Cambria"/>
      <w:b/>
      <w:sz w:val="22"/>
      <w:lang w:val="en-GB" w:eastAsia="ja-JP"/>
    </w:rPr>
  </w:style>
  <w:style w:type="paragraph" w:customStyle="1" w:styleId="a2">
    <w:name w:val="a2"/>
    <w:basedOn w:val="Normal"/>
    <w:next w:val="Normal"/>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ＭＳ 明朝"/>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ＭＳ 明朝"/>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ＭＳ 明朝"/>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ＭＳ 明朝"/>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ＭＳ 明朝"/>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ＭＳ 明朝"/>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semiHidden/>
    <w:rsid w:val="00264095"/>
    <w:pPr>
      <w:spacing w:before="0"/>
    </w:pPr>
  </w:style>
  <w:style w:type="paragraph" w:styleId="TOC3">
    <w:name w:val="toc 3"/>
    <w:basedOn w:val="TOC2"/>
    <w:next w:val="Normal"/>
    <w:uiPriority w:val="39"/>
    <w:semiHidden/>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526284"/>
    <w:pPr>
      <w:spacing w:after="600" w:line="220" w:lineRule="exact"/>
    </w:pPr>
    <w:rPr>
      <w:b/>
    </w:rPr>
  </w:style>
  <w:style w:type="character" w:customStyle="1" w:styleId="HeaderChar">
    <w:name w:val="Header Char"/>
    <w:link w:val="Header"/>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character" w:styleId="CommentReference">
    <w:name w:val="annotation reference"/>
    <w:basedOn w:val="DefaultParagraphFont"/>
    <w:uiPriority w:val="99"/>
    <w:semiHidden/>
    <w:unhideWhenUsed/>
    <w:rsid w:val="00065A0E"/>
    <w:rPr>
      <w:sz w:val="18"/>
      <w:szCs w:val="18"/>
    </w:rPr>
  </w:style>
  <w:style w:type="paragraph" w:styleId="CommentText">
    <w:name w:val="annotation text"/>
    <w:basedOn w:val="Normal"/>
    <w:link w:val="CommentTextChar"/>
    <w:uiPriority w:val="99"/>
    <w:unhideWhenUsed/>
    <w:rsid w:val="00065A0E"/>
    <w:pPr>
      <w:jc w:val="left"/>
    </w:pPr>
  </w:style>
  <w:style w:type="character" w:customStyle="1" w:styleId="CommentTextChar">
    <w:name w:val="Comment Text Char"/>
    <w:basedOn w:val="DefaultParagraphFont"/>
    <w:link w:val="CommentText"/>
    <w:uiPriority w:val="99"/>
    <w:rsid w:val="00065A0E"/>
    <w:rPr>
      <w:sz w:val="22"/>
      <w:szCs w:val="22"/>
      <w:lang w:val="en-GB"/>
    </w:rPr>
  </w:style>
  <w:style w:type="paragraph" w:styleId="CommentSubject">
    <w:name w:val="annotation subject"/>
    <w:basedOn w:val="CommentText"/>
    <w:next w:val="CommentText"/>
    <w:link w:val="CommentSubjectChar"/>
    <w:uiPriority w:val="99"/>
    <w:semiHidden/>
    <w:unhideWhenUsed/>
    <w:rsid w:val="00065A0E"/>
    <w:rPr>
      <w:b/>
      <w:bCs/>
    </w:rPr>
  </w:style>
  <w:style w:type="character" w:customStyle="1" w:styleId="CommentSubjectChar">
    <w:name w:val="Comment Subject Char"/>
    <w:basedOn w:val="CommentTextChar"/>
    <w:link w:val="CommentSubject"/>
    <w:uiPriority w:val="99"/>
    <w:semiHidden/>
    <w:rsid w:val="00065A0E"/>
    <w:rPr>
      <w:b/>
      <w:bCs/>
      <w:sz w:val="22"/>
      <w:szCs w:val="22"/>
      <w:lang w:val="en-GB"/>
    </w:rPr>
  </w:style>
  <w:style w:type="paragraph" w:styleId="Revision">
    <w:name w:val="Revision"/>
    <w:hidden/>
    <w:uiPriority w:val="99"/>
    <w:semiHidden/>
    <w:rsid w:val="00065A0E"/>
    <w:rPr>
      <w:sz w:val="22"/>
      <w:szCs w:val="22"/>
      <w:lang w:val="en-GB"/>
    </w:rPr>
  </w:style>
  <w:style w:type="paragraph" w:styleId="EndnoteText">
    <w:name w:val="endnote text"/>
    <w:basedOn w:val="Normal"/>
    <w:link w:val="EndnoteTextChar"/>
    <w:uiPriority w:val="99"/>
    <w:semiHidden/>
    <w:unhideWhenUsed/>
    <w:rsid w:val="00420611"/>
    <w:pPr>
      <w:snapToGrid w:val="0"/>
      <w:jc w:val="left"/>
    </w:pPr>
  </w:style>
  <w:style w:type="character" w:customStyle="1" w:styleId="EndnoteTextChar">
    <w:name w:val="Endnote Text Char"/>
    <w:basedOn w:val="DefaultParagraphFont"/>
    <w:link w:val="EndnoteText"/>
    <w:uiPriority w:val="99"/>
    <w:semiHidden/>
    <w:rsid w:val="00420611"/>
    <w:rPr>
      <w:sz w:val="22"/>
      <w:szCs w:val="22"/>
      <w:lang w:val="en-GB"/>
    </w:rPr>
  </w:style>
  <w:style w:type="character" w:styleId="EndnoteReference">
    <w:name w:val="endnote reference"/>
    <w:basedOn w:val="DefaultParagraphFont"/>
    <w:uiPriority w:val="99"/>
    <w:semiHidden/>
    <w:unhideWhenUsed/>
    <w:rsid w:val="00420611"/>
    <w:rPr>
      <w:vertAlign w:val="superscript"/>
    </w:rPr>
  </w:style>
  <w:style w:type="paragraph" w:styleId="TOCHeading">
    <w:name w:val="TOC Heading"/>
    <w:basedOn w:val="Heading1"/>
    <w:next w:val="Normal"/>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88812951">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869729093">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5590636">
      <w:bodyDiv w:val="1"/>
      <w:marLeft w:val="0"/>
      <w:marRight w:val="0"/>
      <w:marTop w:val="0"/>
      <w:marBottom w:val="0"/>
      <w:divBdr>
        <w:top w:val="none" w:sz="0" w:space="0" w:color="auto"/>
        <w:left w:val="none" w:sz="0" w:space="0" w:color="auto"/>
        <w:bottom w:val="none" w:sz="0" w:space="0" w:color="auto"/>
        <w:right w:val="none" w:sz="0" w:space="0" w:color="auto"/>
      </w:divBdr>
    </w:div>
    <w:div w:id="1057901417">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tsu.com/global/about/resources/news/press-releases/2017/0828-0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jitsu.com/jp/documents/about/resources/publications/magazine/backnumber/vol69-4/paper15.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jstage.jst.go.jp/article/tjsai/32/3/32_D-G72/_article" TargetMode="External"/><Relationship Id="rId4" Type="http://schemas.openxmlformats.org/officeDocument/2006/relationships/settings" Target="settings.xml"/><Relationship Id="rId9" Type="http://schemas.openxmlformats.org/officeDocument/2006/relationships/hyperlink" Target="http://www.fujitsu.com/global/about/resources/news/press-releases/2016/0216-01.htm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9A997ECD-683D-464E-BF5C-C8B3AD6CBC2E}"/>
      </w:docPartPr>
      <w:docPartBody>
        <w:p w:rsidR="000C1D7F" w:rsidRDefault="00011701">
          <w:r w:rsidRPr="005C5D33">
            <w:rPr>
              <w:rStyle w:val="Placehold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1"/>
    <w:rsid w:val="00011701"/>
    <w:rsid w:val="000C1D7F"/>
    <w:rsid w:val="00870ACB"/>
    <w:rsid w:val="008A515E"/>
    <w:rsid w:val="009E4117"/>
    <w:rsid w:val="00A42FC8"/>
    <w:rsid w:val="00E14A85"/>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E700-D607-4691-80CF-CE89D276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12</Pages>
  <Words>1127</Words>
  <Characters>6426</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7538</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Hiroya Inakoshi</cp:lastModifiedBy>
  <cp:revision>72</cp:revision>
  <dcterms:created xsi:type="dcterms:W3CDTF">2018-10-11T15:04:00Z</dcterms:created>
  <dcterms:modified xsi:type="dcterms:W3CDTF">2019-01-28T06:48:00Z</dcterms:modified>
</cp:coreProperties>
</file>